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Arial Unicode MS" w:hAnsi="Arial Unicode MS" w:eastAsia="Arial Unicode MS" w:cs="Arial Unicode MS"/>
          <w:b w:val="0"/>
          <w:bCs w:val="0"/>
          <w:sz w:val="44"/>
          <w:szCs w:val="44"/>
        </w:rPr>
      </w:pPr>
      <w:r>
        <w:rPr>
          <w:rFonts w:hint="eastAsia" w:ascii="Arial Unicode MS" w:hAnsi="Arial Unicode MS" w:eastAsia="Arial Unicode MS" w:cs="Arial Unicode MS"/>
          <w:b w:val="0"/>
          <w:bCs w:val="0"/>
          <w:sz w:val="44"/>
          <w:szCs w:val="44"/>
          <w:lang w:val="en-US" w:eastAsia="zh-CN"/>
        </w:rPr>
        <w:t>2024</w:t>
      </w:r>
      <w:r>
        <w:rPr>
          <w:rFonts w:hint="eastAsia" w:ascii="Arial Unicode MS" w:hAnsi="Arial Unicode MS" w:eastAsia="Arial Unicode MS" w:cs="Arial Unicode MS"/>
          <w:b w:val="0"/>
          <w:bCs w:val="0"/>
          <w:sz w:val="44"/>
          <w:szCs w:val="44"/>
        </w:rPr>
        <w:t>年度</w:t>
      </w:r>
      <w:r>
        <w:rPr>
          <w:rFonts w:hint="eastAsia" w:ascii="Arial Unicode MS" w:hAnsi="Arial Unicode MS" w:eastAsia="Arial Unicode MS" w:cs="Arial Unicode MS"/>
          <w:b w:val="0"/>
          <w:bCs w:val="0"/>
          <w:sz w:val="44"/>
          <w:szCs w:val="44"/>
          <w:lang w:val="en-US" w:eastAsia="zh-CN"/>
        </w:rPr>
        <w:t>锡林郭勒盟公安局留置看护监管中心</w:t>
      </w:r>
      <w:r>
        <w:rPr>
          <w:rFonts w:hint="eastAsia" w:ascii="Arial Unicode MS" w:hAnsi="Arial Unicode MS" w:eastAsia="Arial Unicode MS" w:cs="Arial Unicode MS"/>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lang w:eastAsia="zh-CN"/>
        </w:rPr>
        <w:t>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3</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6</w:t>
      </w:r>
      <w:r>
        <w:rPr>
          <w:rFonts w:hint="eastAsia" w:ascii="黑体" w:hAnsi="黑体" w:eastAsia="黑体" w:cs="黑体"/>
          <w:sz w:val="32"/>
          <w:szCs w:val="32"/>
          <w:u w:val="single"/>
        </w:rPr>
        <w:t xml:space="preserve">   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color w:val="000000" w:themeColor="text1"/>
          <w:sz w:val="32"/>
          <w:szCs w:val="32"/>
          <w14:textFill>
            <w14:solidFill>
              <w14:schemeClr w14:val="tx1"/>
            </w14:solidFill>
          </w14:textFill>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二、部门（单位）机构设置及预算单位构成情况</w:t>
      </w:r>
    </w:p>
    <w:p>
      <w:pPr>
        <w:pStyle w:val="10"/>
        <w:pageBreakBefore w:val="0"/>
        <w:kinsoku/>
        <w:wordWrap/>
        <w:overflowPunct/>
        <w:topLinePunct w:val="0"/>
        <w:bidi w:val="0"/>
        <w:spacing w:after="0" w:line="600" w:lineRule="exact"/>
        <w:rPr>
          <w:rFonts w:ascii="黑体" w:hAnsi="黑体" w:eastAsia="黑体" w:cs="黑体"/>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w:t>
      </w:r>
      <w:r>
        <w:rPr>
          <w:rFonts w:hint="eastAsia" w:ascii="仿宋" w:hAnsi="仿宋" w:eastAsia="仿宋" w:cs="仿宋"/>
          <w:color w:val="000000" w:themeColor="text1"/>
          <w:sz w:val="32"/>
          <w:szCs w:val="32"/>
          <w:highlight w:val="none"/>
          <w:lang w:val="en-US" w:eastAsia="zh-CN"/>
          <w14:textFill>
            <w14:solidFill>
              <w14:schemeClr w14:val="tx1"/>
            </w14:solidFill>
          </w14:textFill>
        </w:rPr>
        <w:t>2024</w:t>
      </w:r>
      <w:r>
        <w:rPr>
          <w:rFonts w:hint="eastAsia" w:ascii="仿宋" w:hAnsi="仿宋" w:eastAsia="仿宋" w:cs="仿宋"/>
          <w:color w:val="000000" w:themeColor="text1"/>
          <w:sz w:val="32"/>
          <w:szCs w:val="32"/>
          <w:highlight w:val="none"/>
          <w14:textFill>
            <w14:solidFill>
              <w14:schemeClr w14:val="tx1"/>
            </w14:solidFill>
          </w14:textFill>
        </w:rPr>
        <w:t>年度部门（单位）主要工作任务及目标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hint="eastAsia" w:ascii="黑体" w:hAnsi="黑体" w:eastAsia="黑体" w:cs="黑体"/>
          <w:sz w:val="32"/>
          <w:szCs w:val="32"/>
        </w:rPr>
      </w:pP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第一部分  部门（单位）概况</w:t>
      </w:r>
    </w:p>
    <w:p>
      <w:pPr>
        <w:pageBreakBefore w:val="0"/>
        <w:kinsoku/>
        <w:wordWrap/>
        <w:overflowPunct/>
        <w:topLinePunct w:val="0"/>
        <w:bidi w:val="0"/>
        <w:spacing w:line="600" w:lineRule="exact"/>
        <w:rPr>
          <w:rFonts w:hint="eastAsia" w:ascii="Arial Unicode MS" w:hAnsi="Arial Unicode MS" w:eastAsia="Arial Unicode MS" w:cs="Arial Unicode MS"/>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rPr>
      </w:pPr>
      <w:r>
        <w:rPr>
          <w:rFonts w:hint="eastAsia" w:ascii="仿宋" w:hAnsi="仿宋" w:eastAsia="仿宋" w:cs="仿宋"/>
          <w:kern w:val="2"/>
          <w:sz w:val="32"/>
          <w:szCs w:val="32"/>
          <w:lang w:val="en-US" w:eastAsia="zh-CN" w:bidi="ar-SA"/>
        </w:rPr>
        <w:t>锡林郭勒盟公安局留置看护监管中心配合纪委监委完成留置调查措施。负责押解留置对象出入留置场所，根据自治区纪委监委工作要求，协助执行全区留置看护任务。</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pageBreakBefore w:val="0"/>
        <w:kinsoku/>
        <w:wordWrap/>
        <w:overflowPunct/>
        <w:topLinePunct w:val="0"/>
        <w:bidi w:val="0"/>
        <w:spacing w:line="60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1．根据单位职责分工，本单位</w:t>
      </w:r>
      <w:r>
        <w:rPr>
          <w:rFonts w:hint="eastAsia" w:ascii="仿宋" w:hAnsi="仿宋" w:eastAsia="仿宋" w:cs="仿宋"/>
          <w:sz w:val="32"/>
          <w:szCs w:val="32"/>
          <w:lang w:eastAsia="zh-CN"/>
        </w:rPr>
        <w:t>无内设机构</w:t>
      </w:r>
      <w:r>
        <w:rPr>
          <w:rFonts w:hint="eastAsia" w:ascii="仿宋" w:hAnsi="仿宋" w:eastAsia="仿宋" w:cs="仿宋"/>
          <w:sz w:val="32"/>
          <w:szCs w:val="32"/>
        </w:rPr>
        <w:t>。</w:t>
      </w:r>
      <w:r>
        <w:rPr>
          <w:rFonts w:hint="eastAsia" w:ascii="仿宋" w:hAnsi="仿宋" w:eastAsia="仿宋" w:cs="仿宋"/>
          <w:sz w:val="32"/>
          <w:szCs w:val="32"/>
          <w:lang w:eastAsia="zh-CN"/>
        </w:rPr>
        <w:t>本单位</w:t>
      </w:r>
      <w:r>
        <w:rPr>
          <w:rFonts w:hint="eastAsia" w:ascii="仿宋" w:hAnsi="仿宋" w:eastAsia="仿宋" w:cs="仿宋"/>
          <w:sz w:val="32"/>
          <w:szCs w:val="32"/>
        </w:rPr>
        <w:t>无下设单位。</w:t>
      </w:r>
    </w:p>
    <w:p>
      <w:pPr>
        <w:pageBreakBefore w:val="0"/>
        <w:kinsoku/>
        <w:wordWrap/>
        <w:overflowPunct/>
        <w:topLinePunct w:val="0"/>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2．从预算单位构成看，锡林郭勒盟公安局留置看护监管中心隶属于锡林郭勒盟公安局，为二级单位</w:t>
      </w:r>
      <w:r>
        <w:rPr>
          <w:rFonts w:hint="eastAsia" w:ascii="仿宋" w:hAnsi="仿宋" w:eastAsia="仿宋" w:cs="仿宋"/>
          <w:sz w:val="32"/>
          <w:szCs w:val="32"/>
          <w:lang w:eastAsia="zh-CN"/>
        </w:rPr>
        <w:t>。</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lang w:eastAsia="zh-CN"/>
              </w:rPr>
              <w:t>锡林郭勒盟公安局留置看护监管中心</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rPr>
              <w:t>参照公务员法管理的事业单位</w:t>
            </w:r>
          </w:p>
        </w:tc>
      </w:tr>
    </w:tbl>
    <w:p>
      <w:pPr>
        <w:pageBreakBefore w:val="0"/>
        <w:kinsoku/>
        <w:wordWrap/>
        <w:overflowPunct/>
        <w:topLinePunct w:val="0"/>
        <w:bidi w:val="0"/>
        <w:spacing w:line="600" w:lineRule="exact"/>
        <w:rPr>
          <w:rFonts w:eastAsia="仿宋_GB2312" w:cstheme="minorBidi"/>
          <w:sz w:val="32"/>
          <w:szCs w:val="32"/>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2024</w:t>
      </w:r>
      <w:r>
        <w:rPr>
          <w:rFonts w:hint="eastAsia" w:eastAsia="黑体" w:cs="黑体"/>
          <w:b w:val="0"/>
          <w:bCs w:val="0"/>
          <w:sz w:val="32"/>
          <w:szCs w:val="36"/>
        </w:rPr>
        <w:t>年部门（单位）主要工作任务及目标</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heme="minorBidi"/>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我单位负责对看护人员进行管理和监委机关留置人员看护工作。负责押解留置对象出入留置场所，根据自治区纪委监委工作要求，协助执行全区留置看护任务。 </w:t>
      </w:r>
    </w:p>
    <w:p>
      <w:pPr>
        <w:pStyle w:val="2"/>
      </w:pPr>
    </w:p>
    <w:p>
      <w:pPr>
        <w:pStyle w:val="2"/>
      </w:pPr>
    </w:p>
    <w:p>
      <w:pPr>
        <w:pStyle w:val="2"/>
      </w:pPr>
    </w:p>
    <w:p>
      <w:pPr>
        <w:pStyle w:val="7"/>
        <w:pageBreakBefore w:val="0"/>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p>
    <w:p>
      <w:pPr>
        <w:pStyle w:val="7"/>
        <w:pageBreakBefore w:val="0"/>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第二部分</w:t>
      </w:r>
      <w:r>
        <w:rPr>
          <w:rFonts w:hint="eastAsia" w:ascii="Arial Unicode MS" w:hAnsi="Arial Unicode MS" w:eastAsia="Arial Unicode MS" w:cs="Arial Unicode MS"/>
          <w:b w:val="0"/>
          <w:bCs w:val="0"/>
          <w:sz w:val="36"/>
          <w:szCs w:val="36"/>
          <w:lang w:val="en-US" w:eastAsia="zh-CN"/>
        </w:rPr>
        <w:t>2024</w:t>
      </w:r>
      <w:r>
        <w:rPr>
          <w:rFonts w:hint="eastAsia" w:ascii="Arial Unicode MS" w:hAnsi="Arial Unicode MS" w:eastAsia="Arial Unicode MS" w:cs="Arial Unicode MS"/>
          <w:b w:val="0"/>
          <w:bCs w:val="0"/>
          <w:sz w:val="36"/>
          <w:szCs w:val="36"/>
        </w:rPr>
        <w:t>年度部门（单位）预算情况说明</w:t>
      </w:r>
    </w:p>
    <w:p>
      <w:pPr>
        <w:pageBreakBefore w:val="0"/>
        <w:kinsoku/>
        <w:wordWrap/>
        <w:overflowPunct/>
        <w:topLinePunct w:val="0"/>
        <w:bidi w:val="0"/>
        <w:spacing w:line="600" w:lineRule="exact"/>
        <w:rPr>
          <w:rFonts w:hint="eastAsia" w:ascii="Arial Unicode MS" w:hAnsi="Arial Unicode MS" w:eastAsia="Arial Unicode MS" w:cs="Arial Unicode MS"/>
          <w:sz w:val="36"/>
          <w:szCs w:val="36"/>
        </w:rPr>
      </w:pP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一、收支预算总体情况说明</w:t>
      </w:r>
    </w:p>
    <w:p>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1897.06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249.56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15.15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1897.06</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1501.68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1501.68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122.05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上年度我单位有</w:t>
      </w:r>
      <w:r>
        <w:rPr>
          <w:rFonts w:hint="eastAsia" w:eastAsia="仿宋_GB2312" w:cs="Times New Roman"/>
          <w:sz w:val="32"/>
          <w:szCs w:val="32"/>
          <w:lang w:val="en-US" w:eastAsia="zh-CN"/>
        </w:rPr>
        <w:t>20个警务辅助人员调走，因此较上年减少</w:t>
      </w:r>
      <w:r>
        <w:rPr>
          <w:rFonts w:hint="default" w:ascii="Times New Roman" w:hAnsi="Times New Roman" w:eastAsia="仿宋_GB2312" w:cs="Times New Roman"/>
          <w:sz w:val="32"/>
          <w:szCs w:val="32"/>
        </w:rPr>
        <w:t>。</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%。主要原因是我单位无政府性基金预算拨款收入。</w:t>
      </w:r>
    </w:p>
    <w:p>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%。主要原因是我单位无国有资本经营预算拨款收入。</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%。主要原因是我单位无财政专户管理资金收入。</w:t>
      </w:r>
    </w:p>
    <w:p>
      <w:pPr>
        <w:pStyle w:val="10"/>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%。主要原因是我单位无事业收入。</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%。主要原因是我单位无事业单位经营收入。</w:t>
      </w:r>
    </w:p>
    <w:p>
      <w:pPr>
        <w:pStyle w:val="10"/>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%。主要原因是我单位无上级补助收入。</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%。主要原因是我单位无附属单位上缴收入。</w:t>
      </w:r>
    </w:p>
    <w:p>
      <w:pPr>
        <w:pStyle w:val="10"/>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%。主要原因是我单位无其他收入。</w:t>
      </w:r>
    </w:p>
    <w:p>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395.37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371.6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1563.32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2023增加</w:t>
      </w:r>
      <w:r>
        <w:rPr>
          <w:rFonts w:hint="eastAsia" w:ascii="仿宋" w:hAnsi="仿宋" w:eastAsia="仿宋" w:cs="仿宋"/>
          <w:b w:val="0"/>
          <w:i w:val="0"/>
          <w:caps w:val="0"/>
          <w:color w:val="000000"/>
          <w:spacing w:val="0"/>
          <w:sz w:val="32"/>
          <w:szCs w:val="32"/>
          <w:shd w:val="clear" w:fill="FFFFFF"/>
        </w:rPr>
        <w:t>锡林郭勒盟公安局留置看护监管中心业务技术用房改造工程</w:t>
      </w:r>
      <w:r>
        <w:rPr>
          <w:rFonts w:hint="eastAsia" w:ascii="仿宋" w:hAnsi="仿宋" w:eastAsia="仿宋" w:cs="仿宋"/>
          <w:b w:val="0"/>
          <w:i w:val="0"/>
          <w:caps w:val="0"/>
          <w:color w:val="000000"/>
          <w:spacing w:val="0"/>
          <w:sz w:val="32"/>
          <w:szCs w:val="32"/>
          <w:shd w:val="clear" w:fill="FFFFFF"/>
          <w:lang w:eastAsia="zh-CN"/>
        </w:rPr>
        <w:t>项目资金</w:t>
      </w:r>
      <w:r>
        <w:rPr>
          <w:rFonts w:hint="default" w:ascii="Times New Roman" w:hAnsi="Times New Roman" w:eastAsia="仿宋_GB2312" w:cs="Times New Roman"/>
          <w:sz w:val="32"/>
          <w:szCs w:val="32"/>
        </w:rPr>
        <w:t>。</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1897.06</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1897.06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（1）公共安全（类）支出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1663.32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万元，主要用于“人员支 出 、 机 构 运 转 等 ”</w:t>
      </w:r>
      <w:r>
        <w:rPr>
          <w:rFonts w:hint="eastAsia" w:eastAsia="仿宋_GB2312" w:cs="Times New Roman"/>
          <w:sz w:val="32"/>
          <w:szCs w:val="32"/>
          <w:lang w:eastAsia="zh-CN"/>
        </w:rPr>
        <w:t>方面支出</w:t>
      </w:r>
      <w:r>
        <w:rPr>
          <w:rFonts w:hint="default"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247.4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17.47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仿宋" w:hAnsi="仿宋" w:eastAsia="仿宋" w:cs="仿宋"/>
          <w:b w:val="0"/>
          <w:i w:val="0"/>
          <w:caps w:val="0"/>
          <w:color w:val="000000"/>
          <w:spacing w:val="0"/>
          <w:sz w:val="32"/>
          <w:szCs w:val="32"/>
          <w:shd w:val="clear" w:fill="FFFFFF"/>
        </w:rPr>
        <w:t>锡林郭勒盟公安局留置看护监管中心业务技术用房改造工程</w:t>
      </w:r>
      <w:r>
        <w:rPr>
          <w:rFonts w:hint="eastAsia" w:ascii="仿宋" w:hAnsi="仿宋" w:eastAsia="仿宋" w:cs="仿宋"/>
          <w:b w:val="0"/>
          <w:i w:val="0"/>
          <w:caps w:val="0"/>
          <w:color w:val="000000"/>
          <w:spacing w:val="0"/>
          <w:sz w:val="32"/>
          <w:szCs w:val="32"/>
          <w:shd w:val="clear" w:fill="FFFFFF"/>
          <w:lang w:eastAsia="zh-CN"/>
        </w:rPr>
        <w:t>项目资金</w:t>
      </w:r>
      <w:r>
        <w:rPr>
          <w:rFonts w:hint="default" w:ascii="Times New Roman" w:hAnsi="Times New Roman" w:eastAsia="仿宋_GB2312" w:cs="Times New Roman"/>
          <w:sz w:val="32"/>
          <w:szCs w:val="32"/>
        </w:rPr>
        <w:t>增加。</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（2） 社会保障和就业支出类 </w:t>
      </w:r>
      <w:r>
        <w:rPr>
          <w:rFonts w:hint="eastAsia" w:eastAsia="仿宋_GB2312" w:cs="Times New Roman"/>
          <w:sz w:val="32"/>
          <w:szCs w:val="32"/>
          <w:u w:val="single"/>
          <w:lang w:val="en-US" w:eastAsia="zh-CN"/>
        </w:rPr>
        <w:t>82.05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万元，主要用于缴纳民警 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年度机关事业养老保险单位部分。比上年预算数</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0.47</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eastAsia" w:eastAsia="仿宋_GB2312" w:cs="Times New Roman"/>
          <w:sz w:val="32"/>
          <w:szCs w:val="32"/>
          <w:u w:val="single"/>
          <w:lang w:val="en-US" w:eastAsia="zh-CN"/>
        </w:rPr>
        <w:t>0.58</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民警工资上涨，养老保险基数上调。</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eastAsia="仿宋_GB2312" w:cs="Times New Roman"/>
          <w:sz w:val="32"/>
          <w:szCs w:val="32"/>
          <w:lang w:eastAsia="zh-CN"/>
        </w:rPr>
      </w:pPr>
      <w:r>
        <w:rPr>
          <w:rFonts w:hint="default" w:ascii="Times New Roman" w:hAnsi="Times New Roman" w:eastAsia="仿宋_GB2312" w:cs="Times New Roman"/>
          <w:sz w:val="32"/>
          <w:szCs w:val="32"/>
        </w:rPr>
        <w:t>（3） 卫生健康支出类</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35.94</w:t>
      </w:r>
      <w:r>
        <w:rPr>
          <w:rFonts w:hint="default" w:ascii="Times New Roman" w:hAnsi="Times New Roman" w:eastAsia="仿宋_GB2312" w:cs="Times New Roman"/>
          <w:sz w:val="32"/>
          <w:szCs w:val="32"/>
        </w:rPr>
        <w:t>万元，主要用于缴纳在职民警 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年度行政单位医疗保险及公务员医疗补助单位部分。比上年预算数</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31.12</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上年度我单位有</w:t>
      </w:r>
      <w:r>
        <w:rPr>
          <w:rFonts w:hint="eastAsia" w:eastAsia="仿宋_GB2312" w:cs="Times New Roman"/>
          <w:sz w:val="32"/>
          <w:szCs w:val="32"/>
          <w:lang w:val="en-US" w:eastAsia="zh-CN"/>
        </w:rPr>
        <w:t>20个警务辅助人员调走，因此较上年减少</w:t>
      </w:r>
      <w:r>
        <w:rPr>
          <w:rFonts w:hint="default" w:ascii="Times New Roman" w:hAnsi="Times New Roman" w:eastAsia="仿宋_GB2312" w:cs="Times New Roman"/>
          <w:sz w:val="32"/>
          <w:szCs w:val="32"/>
        </w:rPr>
        <w:t>。</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 住房保障支出类 </w:t>
      </w:r>
      <w:r>
        <w:rPr>
          <w:rFonts w:hint="eastAsia" w:eastAsia="仿宋_GB2312" w:cs="Times New Roman"/>
          <w:sz w:val="32"/>
          <w:szCs w:val="32"/>
          <w:u w:val="single"/>
          <w:lang w:val="en-US" w:eastAsia="zh-CN"/>
        </w:rPr>
        <w:t>115.75</w:t>
      </w:r>
      <w:r>
        <w:rPr>
          <w:rFonts w:hint="default" w:ascii="Times New Roman" w:hAnsi="Times New Roman" w:eastAsia="仿宋_GB2312" w:cs="Times New Roman"/>
          <w:sz w:val="32"/>
          <w:szCs w:val="32"/>
        </w:rPr>
        <w:t xml:space="preserve"> 万元，主要用于缴纳民警202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 xml:space="preserve"> 年度住房公积金单位部分及发放民警住房补贴。比上年预算数增加 </w:t>
      </w:r>
      <w:r>
        <w:rPr>
          <w:rFonts w:hint="eastAsia" w:eastAsia="仿宋_GB2312" w:cs="Times New Roman"/>
          <w:sz w:val="32"/>
          <w:szCs w:val="32"/>
          <w:u w:val="single"/>
          <w:lang w:val="en-US" w:eastAsia="zh-CN"/>
        </w:rPr>
        <w:t>17.92</w:t>
      </w:r>
      <w:r>
        <w:rPr>
          <w:rFonts w:hint="default" w:ascii="Times New Roman" w:hAnsi="Times New Roman" w:eastAsia="仿宋_GB2312" w:cs="Times New Roman"/>
          <w:sz w:val="32"/>
          <w:szCs w:val="32"/>
        </w:rPr>
        <w:t xml:space="preserve"> 万元，增长</w:t>
      </w:r>
      <w:r>
        <w:rPr>
          <w:rFonts w:hint="eastAsia" w:eastAsia="仿宋_GB2312" w:cs="Times New Roman"/>
          <w:sz w:val="32"/>
          <w:szCs w:val="32"/>
          <w:u w:val="single"/>
          <w:lang w:val="en-US" w:eastAsia="zh-CN"/>
        </w:rPr>
        <w:t>18.32</w:t>
      </w:r>
      <w:r>
        <w:rPr>
          <w:rFonts w:hint="default" w:ascii="Times New Roman" w:hAnsi="Times New Roman" w:eastAsia="仿宋_GB2312" w:cs="Times New Roman"/>
          <w:sz w:val="32"/>
          <w:szCs w:val="32"/>
        </w:rPr>
        <w:t>%，主要原因是民警</w:t>
      </w:r>
      <w:r>
        <w:rPr>
          <w:rFonts w:hint="eastAsia" w:eastAsia="仿宋_GB2312" w:cs="Times New Roman"/>
          <w:sz w:val="32"/>
          <w:szCs w:val="32"/>
          <w:lang w:eastAsia="zh-CN"/>
        </w:rPr>
        <w:t>工资上涨</w:t>
      </w:r>
      <w:r>
        <w:rPr>
          <w:rFonts w:hint="default" w:ascii="Times New Roman" w:hAnsi="Times New Roman" w:eastAsia="仿宋_GB2312" w:cs="Times New Roman"/>
          <w:sz w:val="32"/>
          <w:szCs w:val="32"/>
        </w:rPr>
        <w:t>。</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w:t>
      </w:r>
      <w:bookmarkStart w:id="0" w:name="_GoBack"/>
      <w:bookmarkEnd w:id="0"/>
      <w:r>
        <w:rPr>
          <w:rFonts w:hint="default" w:ascii="Times New Roman" w:hAnsi="Times New Roman" w:eastAsia="仿宋_GB2312" w:cs="Times New Roman"/>
          <w:sz w:val="32"/>
          <w:szCs w:val="32"/>
        </w:rPr>
        <w:t>本年尚无资金结转计划。</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1897.06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1501.68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395.37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1501.68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79.16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single"/>
          <w:lang w:val="en-US" w:eastAsia="zh-CN"/>
        </w:rPr>
        <w:t>395.37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20.84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1897.06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1487.68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78.42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409.37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21.58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1897.06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万元。与上年相比，财政拨款收、支总计各增加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249.56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15.15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仿宋" w:hAnsi="仿宋" w:eastAsia="仿宋" w:cs="仿宋"/>
          <w:b w:val="0"/>
          <w:i w:val="0"/>
          <w:caps w:val="0"/>
          <w:color w:val="000000"/>
          <w:spacing w:val="0"/>
          <w:sz w:val="32"/>
          <w:szCs w:val="32"/>
          <w:shd w:val="clear" w:fill="FFFFFF"/>
        </w:rPr>
        <w:t>锡林郭勒盟公安局留置看护监管中心业务技术用房改造工程</w:t>
      </w:r>
      <w:r>
        <w:rPr>
          <w:rFonts w:hint="eastAsia" w:ascii="仿宋" w:hAnsi="仿宋" w:eastAsia="仿宋" w:cs="仿宋"/>
          <w:b w:val="0"/>
          <w:i w:val="0"/>
          <w:caps w:val="0"/>
          <w:color w:val="000000"/>
          <w:spacing w:val="0"/>
          <w:sz w:val="32"/>
          <w:szCs w:val="32"/>
          <w:shd w:val="clear" w:fill="FFFFFF"/>
          <w:lang w:eastAsia="zh-CN"/>
        </w:rPr>
        <w:t>项目资金</w:t>
      </w:r>
      <w:r>
        <w:rPr>
          <w:rFonts w:hint="default" w:ascii="Times New Roman" w:hAnsi="Times New Roman" w:eastAsia="仿宋_GB2312" w:cs="Times New Roman"/>
          <w:sz w:val="32"/>
          <w:szCs w:val="32"/>
        </w:rPr>
        <w:t>增加。</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ascii="仿宋" w:hAnsi="仿宋" w:eastAsia="仿宋" w:cs="仿宋"/>
          <w:sz w:val="32"/>
          <w:szCs w:val="32"/>
          <w:u w:val="single"/>
          <w:lang w:val="en-US" w:eastAsia="zh-CN"/>
        </w:rPr>
        <w:t>1897.06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249.56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15.15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仿宋" w:hAnsi="仿宋" w:eastAsia="仿宋" w:cs="仿宋"/>
          <w:b w:val="0"/>
          <w:i w:val="0"/>
          <w:caps w:val="0"/>
          <w:color w:val="000000"/>
          <w:spacing w:val="0"/>
          <w:sz w:val="32"/>
          <w:szCs w:val="32"/>
          <w:shd w:val="clear" w:fill="FFFFFF"/>
        </w:rPr>
        <w:t>锡林郭勒盟公安局留置看护监管中心业务技术用房改造工程</w:t>
      </w:r>
      <w:r>
        <w:rPr>
          <w:rFonts w:hint="eastAsia" w:ascii="仿宋" w:hAnsi="仿宋" w:eastAsia="仿宋" w:cs="仿宋"/>
          <w:b w:val="0"/>
          <w:i w:val="0"/>
          <w:caps w:val="0"/>
          <w:color w:val="000000"/>
          <w:spacing w:val="0"/>
          <w:sz w:val="32"/>
          <w:szCs w:val="32"/>
          <w:shd w:val="clear" w:fill="FFFFFF"/>
          <w:lang w:eastAsia="zh-CN"/>
        </w:rPr>
        <w:t>项目资金</w:t>
      </w:r>
      <w:r>
        <w:rPr>
          <w:rFonts w:hint="default" w:ascii="Times New Roman" w:hAnsi="Times New Roman" w:eastAsia="仿宋_GB2312" w:cs="Times New Roman"/>
          <w:sz w:val="32"/>
          <w:szCs w:val="32"/>
        </w:rPr>
        <w:t>增加。</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（一）公共安全（类）</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1．公安（款）行政运行（项）。年初预算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1253.95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417.57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49.92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%。变动原因：本年在职民警</w:t>
      </w:r>
      <w:r>
        <w:rPr>
          <w:rFonts w:hint="eastAsia" w:eastAsia="仿宋_GB2312" w:cs="Times New Roman"/>
          <w:sz w:val="32"/>
          <w:szCs w:val="32"/>
          <w:lang w:eastAsia="zh-CN"/>
        </w:rPr>
        <w:t>工资、保险增加</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公安（款）一般行政管理事务（项）</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409.37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万元，比上年预算数</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170.17</w:t>
      </w:r>
      <w:r>
        <w:rPr>
          <w:rFonts w:hint="default" w:ascii="Times New Roman" w:hAnsi="Times New Roman" w:eastAsia="仿宋_GB2312" w:cs="Times New Roman"/>
          <w:sz w:val="32"/>
          <w:szCs w:val="32"/>
        </w:rPr>
        <w:t xml:space="preserve"> 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29.36</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根据要求</w:t>
      </w:r>
      <w:r>
        <w:rPr>
          <w:rFonts w:hint="eastAsia" w:eastAsia="仿宋_GB2312" w:cs="Times New Roman"/>
          <w:sz w:val="32"/>
          <w:szCs w:val="32"/>
          <w:lang w:val="en-US" w:eastAsia="zh-CN"/>
        </w:rPr>
        <w:t>2024年警务辅助人员预算不在项目支出，因此较上年减少</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社会保障和就业支出类</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行政事业单位养老支出（款）机关事业单位基本养老保险缴费支出（项）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82.05</w:t>
      </w:r>
      <w:r>
        <w:rPr>
          <w:rFonts w:hint="default" w:ascii="Times New Roman" w:hAnsi="Times New Roman" w:eastAsia="仿宋_GB2312" w:cs="Times New Roman"/>
          <w:sz w:val="32"/>
          <w:szCs w:val="32"/>
        </w:rPr>
        <w:t>万元，比上年预算数</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0.47</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default" w:ascii="Times New Roman" w:hAnsi="Times New Roman" w:eastAsia="仿宋_GB2312" w:cs="Times New Roman"/>
          <w:sz w:val="32"/>
          <w:szCs w:val="32"/>
        </w:rPr>
        <w:t xml:space="preserve"> </w:t>
      </w:r>
      <w:r>
        <w:rPr>
          <w:rFonts w:hint="eastAsia" w:eastAsia="仿宋_GB2312" w:cs="Times New Roman"/>
          <w:sz w:val="32"/>
          <w:szCs w:val="32"/>
          <w:u w:val="single"/>
          <w:lang w:val="en-US" w:eastAsia="zh-CN"/>
        </w:rPr>
        <w:t>0.58</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民警工资上涨，养老保险基数上调。</w:t>
      </w:r>
    </w:p>
    <w:p>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eastAsia" w:eastAsia="仿宋_GB2312" w:cs="Times New Roman"/>
          <w:sz w:val="32"/>
          <w:szCs w:val="32"/>
          <w:lang w:eastAsia="zh-CN"/>
        </w:rPr>
        <w:t>（三）</w:t>
      </w:r>
      <w:r>
        <w:rPr>
          <w:rFonts w:hint="default" w:ascii="Times New Roman" w:hAnsi="Times New Roman" w:eastAsia="仿宋_GB2312" w:cs="Times New Roman"/>
          <w:sz w:val="32"/>
          <w:szCs w:val="32"/>
        </w:rPr>
        <w:t>卫生健康支出类</w:t>
      </w:r>
    </w:p>
    <w:p>
      <w:pPr>
        <w:pStyle w:val="10"/>
        <w:pageBreakBefore w:val="0"/>
        <w:tabs>
          <w:tab w:val="left" w:pos="3288"/>
          <w:tab w:val="left" w:pos="5641"/>
          <w:tab w:val="left" w:pos="6778"/>
        </w:tabs>
        <w:kinsoku/>
        <w:wordWrap/>
        <w:overflowPunct/>
        <w:topLinePunct w:val="0"/>
        <w:bidi w:val="0"/>
        <w:spacing w:after="0" w:line="600" w:lineRule="exact"/>
        <w:ind w:left="319" w:leftChars="152" w:firstLine="320" w:firstLineChars="1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 行政事业单位医疗（款）行政单位医疗（项）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31.17</w:t>
      </w:r>
      <w:r>
        <w:rPr>
          <w:rFonts w:hint="default" w:ascii="Times New Roman" w:hAnsi="Times New Roman" w:eastAsia="仿宋_GB2312" w:cs="Times New Roman"/>
          <w:sz w:val="32"/>
          <w:szCs w:val="32"/>
        </w:rPr>
        <w:t xml:space="preserve">万元，比上年预算数增加 </w:t>
      </w:r>
      <w:r>
        <w:rPr>
          <w:rFonts w:hint="eastAsia" w:eastAsia="仿宋_GB2312" w:cs="Times New Roman"/>
          <w:sz w:val="32"/>
          <w:szCs w:val="32"/>
          <w:u w:val="single"/>
          <w:lang w:val="en-US" w:eastAsia="zh-CN"/>
        </w:rPr>
        <w:t>0.42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1.37</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行政单位医疗</w:t>
      </w:r>
      <w:r>
        <w:rPr>
          <w:rFonts w:hint="eastAsia" w:eastAsia="仿宋_GB2312" w:cs="Times New Roman"/>
          <w:sz w:val="32"/>
          <w:szCs w:val="32"/>
          <w:lang w:eastAsia="zh-CN"/>
        </w:rPr>
        <w:t>基数上调。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eastAsia="仿宋_GB2312" w:cs="Times New Roman"/>
          <w:sz w:val="32"/>
          <w:szCs w:val="32"/>
          <w:lang w:eastAsia="zh-CN"/>
        </w:rPr>
      </w:pPr>
      <w:r>
        <w:rPr>
          <w:rFonts w:hint="default" w:ascii="Times New Roman" w:hAnsi="Times New Roman" w:eastAsia="仿宋_GB2312" w:cs="Times New Roman"/>
          <w:sz w:val="32"/>
          <w:szCs w:val="32"/>
        </w:rPr>
        <w:t>（2） 行政事业单位医疗（款）公务员医疗补助（项）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.7</w:t>
      </w:r>
      <w:r>
        <w:rPr>
          <w:rFonts w:hint="eastAsia" w:eastAsia="仿宋_GB2312" w:cs="Times New Roman"/>
          <w:sz w:val="32"/>
          <w:szCs w:val="32"/>
          <w:u w:val="single"/>
          <w:lang w:val="en-US" w:eastAsia="zh-CN"/>
        </w:rPr>
        <w:t>6</w:t>
      </w:r>
      <w:r>
        <w:rPr>
          <w:rFonts w:hint="default" w:ascii="Times New Roman" w:hAnsi="Times New Roman" w:eastAsia="仿宋_GB2312" w:cs="Times New Roman"/>
          <w:sz w:val="32"/>
          <w:szCs w:val="32"/>
        </w:rPr>
        <w:t xml:space="preserve">万元，比上年预算数增加 </w:t>
      </w:r>
      <w:r>
        <w:rPr>
          <w:rFonts w:hint="eastAsia" w:eastAsia="仿宋_GB2312" w:cs="Times New Roman"/>
          <w:sz w:val="32"/>
          <w:szCs w:val="32"/>
          <w:u w:val="single"/>
          <w:lang w:val="en-US" w:eastAsia="zh-CN"/>
        </w:rPr>
        <w:t>0.03</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0.63</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公务员医疗补助</w:t>
      </w:r>
      <w:r>
        <w:rPr>
          <w:rFonts w:hint="eastAsia" w:eastAsia="仿宋_GB2312" w:cs="Times New Roman"/>
          <w:sz w:val="32"/>
          <w:szCs w:val="32"/>
          <w:lang w:eastAsia="zh-CN"/>
        </w:rPr>
        <w:t>基数上调。</w:t>
      </w:r>
    </w:p>
    <w:p>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sz w:val="32"/>
          <w:szCs w:val="32"/>
        </w:rPr>
      </w:pP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住房保障支出类</w:t>
      </w:r>
    </w:p>
    <w:p>
      <w:pPr>
        <w:pageBreakBefore w:val="0"/>
        <w:kinsoku/>
        <w:wordWrap/>
        <w:overflowPunct/>
        <w:topLinePunct w:val="0"/>
        <w:bidi w:val="0"/>
        <w:spacing w:line="600" w:lineRule="exact"/>
        <w:ind w:firstLine="640" w:firstLineChars="200"/>
        <w:outlineLvl w:val="0"/>
        <w:rPr>
          <w:rFonts w:hint="eastAsia" w:eastAsia="仿宋_GB2312" w:cs="Times New Roman"/>
          <w:sz w:val="32"/>
          <w:szCs w:val="32"/>
          <w:lang w:eastAsia="zh-CN"/>
        </w:rPr>
      </w:pPr>
      <w:r>
        <w:rPr>
          <w:rFonts w:hint="default" w:ascii="Times New Roman" w:hAnsi="Times New Roman" w:eastAsia="仿宋_GB2312" w:cs="Times New Roman"/>
          <w:sz w:val="32"/>
          <w:szCs w:val="32"/>
        </w:rPr>
        <w:t>（1） 住房改革支出（款）住房公积金（项）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年初预算</w:t>
      </w:r>
      <w:r>
        <w:rPr>
          <w:rFonts w:hint="eastAsia" w:eastAsia="仿宋_GB2312" w:cs="Times New Roman"/>
          <w:sz w:val="32"/>
          <w:szCs w:val="32"/>
          <w:u w:val="single"/>
          <w:lang w:val="en-US" w:eastAsia="zh-CN"/>
        </w:rPr>
        <w:t>75.09</w:t>
      </w:r>
      <w:r>
        <w:rPr>
          <w:rFonts w:hint="default" w:ascii="Times New Roman" w:hAnsi="Times New Roman" w:eastAsia="仿宋_GB2312" w:cs="Times New Roman"/>
          <w:sz w:val="32"/>
          <w:szCs w:val="32"/>
        </w:rPr>
        <w:t xml:space="preserve"> 万元，比上年预算数</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rPr>
        <w:t xml:space="preserve"> </w:t>
      </w:r>
      <w:r>
        <w:rPr>
          <w:rFonts w:hint="eastAsia" w:eastAsia="仿宋_GB2312" w:cs="Times New Roman"/>
          <w:sz w:val="32"/>
          <w:szCs w:val="32"/>
          <w:u w:val="single"/>
          <w:lang w:val="en-US" w:eastAsia="zh-CN"/>
        </w:rPr>
        <w:t>1.11</w:t>
      </w:r>
      <w:r>
        <w:rPr>
          <w:rFonts w:hint="default" w:ascii="Times New Roman" w:hAnsi="Times New Roman" w:eastAsia="仿宋_GB2312" w:cs="Times New Roman"/>
          <w:sz w:val="32"/>
          <w:szCs w:val="32"/>
        </w:rPr>
        <w:t xml:space="preserve"> 万元，</w:t>
      </w:r>
      <w:r>
        <w:rPr>
          <w:rFonts w:hint="eastAsia" w:eastAsia="仿宋_GB2312" w:cs="Times New Roman"/>
          <w:sz w:val="32"/>
          <w:szCs w:val="32"/>
          <w:lang w:eastAsia="zh-CN"/>
        </w:rPr>
        <w:t>增长</w:t>
      </w:r>
      <w:r>
        <w:rPr>
          <w:rFonts w:hint="eastAsia" w:eastAsia="仿宋_GB2312" w:cs="Times New Roman"/>
          <w:sz w:val="32"/>
          <w:szCs w:val="32"/>
          <w:u w:val="single"/>
          <w:lang w:val="en-US" w:eastAsia="zh-CN"/>
        </w:rPr>
        <w:t>1.5</w:t>
      </w:r>
      <w:r>
        <w:rPr>
          <w:rFonts w:hint="default" w:ascii="Times New Roman" w:hAnsi="Times New Roman" w:eastAsia="仿宋_GB2312" w:cs="Times New Roman"/>
          <w:sz w:val="32"/>
          <w:szCs w:val="32"/>
        </w:rPr>
        <w:t>%，变动原因是</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住房公积金</w:t>
      </w:r>
      <w:r>
        <w:rPr>
          <w:rFonts w:hint="eastAsia" w:eastAsia="仿宋_GB2312" w:cs="Times New Roman"/>
          <w:sz w:val="32"/>
          <w:szCs w:val="32"/>
          <w:lang w:eastAsia="zh-CN"/>
        </w:rPr>
        <w:t>基数上调。</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yellow"/>
        </w:rPr>
      </w:pPr>
      <w:r>
        <w:rPr>
          <w:rFonts w:hint="default" w:ascii="Times New Roman" w:hAnsi="Times New Roman" w:eastAsia="仿宋_GB2312" w:cs="Times New Roman"/>
          <w:sz w:val="32"/>
          <w:szCs w:val="32"/>
        </w:rPr>
        <w:t>（2） 住房改革支出（款）购房补贴（项）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年初预算 </w:t>
      </w:r>
      <w:r>
        <w:rPr>
          <w:rFonts w:hint="eastAsia" w:eastAsia="仿宋_GB2312" w:cs="Times New Roman"/>
          <w:sz w:val="32"/>
          <w:szCs w:val="32"/>
          <w:u w:val="single"/>
          <w:lang w:val="en-US" w:eastAsia="zh-CN"/>
        </w:rPr>
        <w:t>40.66</w:t>
      </w:r>
      <w:r>
        <w:rPr>
          <w:rFonts w:hint="default" w:ascii="Times New Roman" w:hAnsi="Times New Roman" w:eastAsia="仿宋_GB2312" w:cs="Times New Roman"/>
          <w:sz w:val="32"/>
          <w:szCs w:val="32"/>
        </w:rPr>
        <w:t>万元，比上年预算数增加</w:t>
      </w:r>
      <w:r>
        <w:rPr>
          <w:rFonts w:hint="eastAsia" w:eastAsia="仿宋_GB2312" w:cs="Times New Roman"/>
          <w:i w:val="0"/>
          <w:iCs w:val="0"/>
          <w:sz w:val="32"/>
          <w:szCs w:val="32"/>
          <w:u w:val="single"/>
          <w:lang w:val="en-US" w:eastAsia="zh-CN"/>
        </w:rPr>
        <w:t>16.81</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73.48</w:t>
      </w:r>
      <w:r>
        <w:rPr>
          <w:rFonts w:hint="default" w:ascii="Times New Roman" w:hAnsi="Times New Roman" w:eastAsia="仿宋_GB2312" w:cs="Times New Roman"/>
          <w:sz w:val="32"/>
          <w:szCs w:val="32"/>
        </w:rPr>
        <w:t xml:space="preserve">%，变动原因： </w:t>
      </w:r>
      <w:r>
        <w:rPr>
          <w:rFonts w:hint="eastAsia" w:eastAsia="仿宋_GB2312" w:cs="Times New Roman"/>
          <w:sz w:val="32"/>
          <w:szCs w:val="32"/>
          <w:lang w:eastAsia="zh-CN"/>
        </w:rPr>
        <w:t>民警工资上涨</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1489.68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1374.76</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机关事业单位基本养老保险缴费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职工基本医疗保险缴费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公务员医疗补助缴费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其他社会保障缴费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住房公积金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其他工资福利支出等。</w:t>
      </w:r>
    </w:p>
    <w:p>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112.92</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。主要包括：办公费、手续费、维修（护）费、培训费、委托业务费、工会经费、福利费、公务用车运行维护费、其他交通费用、其他商品和服务支出等。</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本单位无</w:t>
      </w:r>
      <w:r>
        <w:rPr>
          <w:rFonts w:hint="default" w:ascii="Times New Roman" w:hAnsi="Times New Roman" w:eastAsia="仿宋_GB2312" w:cs="Times New Roman"/>
          <w:sz w:val="32"/>
          <w:szCs w:val="32"/>
        </w:rPr>
        <w:t>因公出国（境）费预算。</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本单位无</w:t>
      </w:r>
      <w:r>
        <w:rPr>
          <w:rFonts w:hint="default" w:ascii="Times New Roman" w:hAnsi="Times New Roman" w:eastAsia="仿宋_GB2312" w:cs="Times New Roman"/>
          <w:sz w:val="32"/>
          <w:szCs w:val="32"/>
        </w:rPr>
        <w:t>公务用车购置预算。</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 xml:space="preserve"> 万元，主要原因公务用车运行维护费预算支出</w:t>
      </w:r>
      <w:r>
        <w:rPr>
          <w:rFonts w:hint="eastAsia" w:eastAsia="仿宋_GB2312" w:cs="Times New Roman"/>
          <w:sz w:val="32"/>
          <w:szCs w:val="32"/>
          <w:lang w:eastAsia="zh-CN"/>
        </w:rPr>
        <w:t>与上年持平</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本单位无</w:t>
      </w:r>
      <w:r>
        <w:rPr>
          <w:rFonts w:hint="default" w:ascii="Times New Roman" w:hAnsi="Times New Roman" w:eastAsia="仿宋_GB2312" w:cs="Times New Roman"/>
          <w:sz w:val="32"/>
          <w:szCs w:val="32"/>
        </w:rPr>
        <w:t>公务接待费预算。</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10"/>
        <w:pageBreakBefore w:val="0"/>
        <w:kinsoku/>
        <w:wordWrap/>
        <w:overflowPunct/>
        <w:topLinePunct w:val="0"/>
        <w:bidi w:val="0"/>
        <w:spacing w:after="0" w:line="600" w:lineRule="exact"/>
        <w:ind w:left="17" w:leftChars="8" w:firstLine="640" w:firstLineChars="200"/>
        <w:rPr>
          <w:rFonts w:ascii="仿宋" w:hAnsi="仿宋" w:eastAsia="仿宋" w:cs="仿宋"/>
          <w:i w:val="0"/>
          <w:iCs w:val="0"/>
          <w:sz w:val="32"/>
          <w:szCs w:val="32"/>
          <w:highlight w:val="none"/>
        </w:rPr>
      </w:pPr>
      <w:r>
        <w:rPr>
          <w:rFonts w:hint="eastAsia" w:ascii="仿宋" w:hAnsi="仿宋" w:eastAsia="仿宋" w:cs="仿宋"/>
          <w:i w:val="0"/>
          <w:iCs w:val="0"/>
          <w:sz w:val="32"/>
          <w:szCs w:val="32"/>
          <w:highlight w:val="none"/>
        </w:rPr>
        <w:t>本年无政府性基金预算拨款支出。</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i w:val="0"/>
          <w:iCs w:val="0"/>
          <w:color w:val="auto"/>
          <w:sz w:val="32"/>
          <w:szCs w:val="32"/>
          <w:highlight w:val="none"/>
        </w:rPr>
      </w:pPr>
      <w:r>
        <w:rPr>
          <w:rFonts w:hint="eastAsia" w:eastAsia="仿宋_GB2312" w:cstheme="minorBidi"/>
          <w:i w:val="0"/>
          <w:iCs w:val="0"/>
          <w:color w:val="auto"/>
          <w:sz w:val="32"/>
          <w:szCs w:val="32"/>
          <w:highlight w:val="none"/>
        </w:rPr>
        <w:t>本年无国有资本经营预算拨款支出。</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default" w:ascii="Times New Roman" w:hAnsi="Times New Roman" w:eastAsia="仿宋_GB2312" w:cs="Times New Roman"/>
          <w:sz w:val="32"/>
          <w:szCs w:val="32"/>
        </w:rPr>
        <w:t>预算安排项目</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409.37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395.37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（一）</w:t>
      </w:r>
      <w:r>
        <w:rPr>
          <w:rFonts w:hint="eastAsia" w:eastAsia="仿宋_GB2312" w:cs="Times New Roman"/>
          <w:bCs/>
          <w:color w:val="auto"/>
          <w:sz w:val="32"/>
          <w:szCs w:val="32"/>
          <w:lang w:eastAsia="zh-CN"/>
        </w:rPr>
        <w:t>留置被装费</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eastAsia" w:eastAsia="仿宋_GB2312" w:cs="Times New Roman"/>
          <w:bCs/>
          <w:color w:val="auto"/>
          <w:sz w:val="32"/>
          <w:szCs w:val="32"/>
          <w:lang w:eastAsia="zh-CN"/>
        </w:rPr>
        <w:t>本中心现有民辅警</w:t>
      </w:r>
      <w:r>
        <w:rPr>
          <w:rFonts w:hint="eastAsia" w:eastAsia="仿宋_GB2312" w:cs="Times New Roman"/>
          <w:bCs/>
          <w:color w:val="auto"/>
          <w:sz w:val="32"/>
          <w:szCs w:val="32"/>
          <w:lang w:val="en-US" w:eastAsia="zh-CN"/>
        </w:rPr>
        <w:t>113人，为形成留置看护队伍统一标识，树立人民警察良好形象，现需申请被装项目资金。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根据《中华人民共和国人民警察法》、《人民警察制式服装及其标志管理规定》等相关规定，保障留置看护中心队伍着装统一规范，特此申请该项目资金。</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eastAsia="zh-CN"/>
        </w:rPr>
        <w:t>锡林郭勒盟公安局留置看护监管中心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根据财政批复制定本年业务预算 ，</w:t>
      </w:r>
      <w:r>
        <w:rPr>
          <w:rFonts w:hint="eastAsia" w:eastAsia="仿宋_GB2312" w:cs="Times New Roman"/>
          <w:bCs/>
          <w:color w:val="auto"/>
          <w:sz w:val="32"/>
          <w:szCs w:val="32"/>
          <w:lang w:eastAsia="zh-CN"/>
        </w:rPr>
        <w:t>主要用于购买民辅警被装。</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14万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FF0000"/>
          <w:sz w:val="32"/>
          <w:szCs w:val="32"/>
          <w:lang w:val="en-US" w:eastAsia="zh-CN"/>
        </w:rPr>
      </w:pPr>
      <w:r>
        <w:rPr>
          <w:rFonts w:hint="default" w:ascii="Times New Roman" w:hAnsi="Times New Roman" w:eastAsia="仿宋_GB2312" w:cs="Times New Roman"/>
          <w:bCs/>
          <w:color w:val="auto"/>
          <w:sz w:val="32"/>
          <w:szCs w:val="32"/>
          <w:lang w:eastAsia="zh-CN"/>
        </w:rPr>
        <w:t>（二）</w:t>
      </w:r>
      <w:r>
        <w:rPr>
          <w:rFonts w:hint="default" w:ascii="Times New Roman" w:hAnsi="Times New Roman" w:eastAsia="仿宋_GB2312" w:cs="Times New Roman"/>
          <w:bCs/>
          <w:color w:val="auto"/>
          <w:sz w:val="32"/>
          <w:szCs w:val="32"/>
          <w:lang w:val="en-US" w:eastAsia="zh-CN"/>
        </w:rPr>
        <w:t>留置看护差旅资金</w:t>
      </w:r>
      <w:r>
        <w:rPr>
          <w:rFonts w:hint="eastAsia" w:eastAsia="仿宋_GB2312" w:cs="Times New Roman"/>
          <w:bCs/>
          <w:color w:val="auto"/>
          <w:sz w:val="32"/>
          <w:szCs w:val="32"/>
          <w:lang w:val="en-US" w:eastAsia="zh-CN"/>
        </w:rPr>
        <w:t>及</w:t>
      </w:r>
      <w:r>
        <w:rPr>
          <w:rFonts w:hint="eastAsia" w:ascii="仿宋" w:hAnsi="仿宋" w:eastAsia="仿宋" w:cs="仿宋"/>
          <w:b w:val="0"/>
          <w:i w:val="0"/>
          <w:caps w:val="0"/>
          <w:color w:val="000000"/>
          <w:spacing w:val="0"/>
          <w:sz w:val="32"/>
          <w:szCs w:val="32"/>
          <w:shd w:val="clear" w:fill="FFFFFF"/>
        </w:rPr>
        <w:t>锡林郭勒盟公安局留置看护监管中心业务技术用房改造工程</w:t>
      </w:r>
      <w:r>
        <w:rPr>
          <w:rFonts w:hint="eastAsia" w:eastAsia="仿宋_GB2312" w:cs="Times New Roman"/>
          <w:bCs/>
          <w:color w:val="auto"/>
          <w:sz w:val="32"/>
          <w:szCs w:val="32"/>
          <w:lang w:val="en-US" w:eastAsia="zh-CN"/>
        </w:rPr>
        <w:t>共计395.37万元，是财政拨款结转结余资金，上年已做过该项目绩效。</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u w:val="single"/>
          <w:lang w:eastAsia="zh-CN"/>
        </w:rPr>
        <w:t>锡林郭勒盟公安局留置看护监管中心</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112.92</w:t>
      </w:r>
      <w:r>
        <w:rPr>
          <w:rFonts w:hint="default" w:ascii="Times New Roman" w:hAnsi="Times New Roman" w:eastAsia="仿宋_GB2312" w:cs="Times New Roman"/>
          <w:sz w:val="32"/>
          <w:szCs w:val="32"/>
        </w:rPr>
        <w:t>万元，主要包括以下支出：</w:t>
      </w:r>
      <w:r>
        <w:rPr>
          <w:rFonts w:hint="default" w:ascii="Times New Roman" w:hAnsi="Times New Roman" w:eastAsia="仿宋_GB2312" w:cs="Times New Roman"/>
          <w:color w:val="auto"/>
          <w:sz w:val="32"/>
          <w:szCs w:val="32"/>
        </w:rPr>
        <w:t>办公费</w:t>
      </w:r>
      <w:r>
        <w:rPr>
          <w:rFonts w:hint="eastAsia" w:eastAsia="仿宋_GB2312" w:cs="Times New Roman"/>
          <w:color w:val="auto"/>
          <w:sz w:val="32"/>
          <w:szCs w:val="32"/>
          <w:lang w:val="en-US" w:eastAsia="zh-CN"/>
        </w:rPr>
        <w:t>8.78</w:t>
      </w:r>
      <w:r>
        <w:rPr>
          <w:rFonts w:hint="default" w:ascii="Times New Roman" w:hAnsi="Times New Roman" w:eastAsia="仿宋_GB2312" w:cs="Times New Roman"/>
          <w:color w:val="auto"/>
          <w:sz w:val="32"/>
          <w:szCs w:val="32"/>
        </w:rPr>
        <w:t>万元、培训费</w:t>
      </w:r>
      <w:r>
        <w:rPr>
          <w:rFonts w:hint="eastAsia" w:eastAsia="仿宋_GB2312" w:cs="Times New Roman"/>
          <w:color w:val="auto"/>
          <w:sz w:val="32"/>
          <w:szCs w:val="32"/>
          <w:lang w:val="en-US" w:eastAsia="zh-CN"/>
        </w:rPr>
        <w:t>2.22</w:t>
      </w:r>
      <w:r>
        <w:rPr>
          <w:rFonts w:hint="default" w:ascii="Times New Roman" w:hAnsi="Times New Roman" w:eastAsia="仿宋_GB2312" w:cs="Times New Roman"/>
          <w:color w:val="auto"/>
          <w:sz w:val="32"/>
          <w:szCs w:val="32"/>
        </w:rPr>
        <w:t>万元、工会经费</w:t>
      </w:r>
      <w:r>
        <w:rPr>
          <w:rFonts w:hint="eastAsia" w:eastAsia="仿宋_GB2312" w:cs="Times New Roman"/>
          <w:color w:val="auto"/>
          <w:sz w:val="32"/>
          <w:szCs w:val="32"/>
          <w:lang w:val="en-US" w:eastAsia="zh-CN"/>
        </w:rPr>
        <w:t>14.72</w:t>
      </w:r>
      <w:r>
        <w:rPr>
          <w:rFonts w:hint="default" w:ascii="Times New Roman" w:hAnsi="Times New Roman" w:eastAsia="仿宋_GB2312" w:cs="Times New Roman"/>
          <w:color w:val="auto"/>
          <w:sz w:val="32"/>
          <w:szCs w:val="32"/>
        </w:rPr>
        <w:t>万元、福利费</w:t>
      </w:r>
      <w:r>
        <w:rPr>
          <w:rFonts w:hint="eastAsia" w:eastAsia="仿宋_GB2312" w:cs="Times New Roman"/>
          <w:color w:val="auto"/>
          <w:sz w:val="32"/>
          <w:szCs w:val="32"/>
          <w:lang w:val="en-US" w:eastAsia="zh-CN"/>
        </w:rPr>
        <w:t>12.34</w:t>
      </w:r>
      <w:r>
        <w:rPr>
          <w:rFonts w:hint="default" w:ascii="Times New Roman" w:hAnsi="Times New Roman" w:eastAsia="仿宋_GB2312" w:cs="Times New Roman"/>
          <w:color w:val="auto"/>
          <w:sz w:val="32"/>
          <w:szCs w:val="32"/>
        </w:rPr>
        <w:t>万元、公务用车维护费</w:t>
      </w: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万元、其他交通费</w:t>
      </w:r>
      <w:r>
        <w:rPr>
          <w:rFonts w:hint="eastAsia" w:eastAsia="仿宋_GB2312" w:cs="Times New Roman"/>
          <w:color w:val="auto"/>
          <w:sz w:val="32"/>
          <w:szCs w:val="32"/>
          <w:lang w:val="en-US" w:eastAsia="zh-CN"/>
        </w:rPr>
        <w:t>43.36</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手续费</w:t>
      </w:r>
      <w:r>
        <w:rPr>
          <w:rFonts w:hint="eastAsia" w:eastAsia="仿宋_GB2312" w:cs="Times New Roman"/>
          <w:color w:val="auto"/>
          <w:sz w:val="32"/>
          <w:szCs w:val="32"/>
          <w:lang w:val="en-US" w:eastAsia="zh-CN"/>
        </w:rPr>
        <w:t>0.1万元、维修（护）费0.5万元、委托业务费5万元、奖金2.4万元、其他社会保障缴费10万元、</w:t>
      </w:r>
      <w:r>
        <w:rPr>
          <w:rFonts w:hint="default" w:ascii="Times New Roman" w:hAnsi="Times New Roman" w:eastAsia="仿宋_GB2312" w:cs="Times New Roman"/>
          <w:color w:val="auto"/>
          <w:sz w:val="32"/>
          <w:szCs w:val="32"/>
        </w:rPr>
        <w:t>其他</w:t>
      </w:r>
      <w:r>
        <w:rPr>
          <w:rFonts w:hint="eastAsia" w:eastAsia="仿宋_GB2312" w:cs="Times New Roman"/>
          <w:color w:val="auto"/>
          <w:sz w:val="32"/>
          <w:szCs w:val="32"/>
          <w:lang w:eastAsia="zh-CN"/>
        </w:rPr>
        <w:t>商品和服务支出</w:t>
      </w:r>
      <w:r>
        <w:rPr>
          <w:rFonts w:hint="eastAsia" w:eastAsia="仿宋_GB2312" w:cs="Times New Roman"/>
          <w:color w:val="auto"/>
          <w:sz w:val="32"/>
          <w:szCs w:val="32"/>
          <w:lang w:val="en-US" w:eastAsia="zh-CN"/>
        </w:rPr>
        <w:t>0.5</w:t>
      </w:r>
      <w:r>
        <w:rPr>
          <w:rFonts w:hint="default" w:ascii="Times New Roman" w:hAnsi="Times New Roman" w:eastAsia="仿宋_GB2312" w:cs="Times New Roman"/>
          <w:color w:val="auto"/>
          <w:sz w:val="32"/>
          <w:szCs w:val="32"/>
        </w:rPr>
        <w:t>万元</w:t>
      </w:r>
      <w:r>
        <w:rPr>
          <w:rFonts w:hint="eastAsia" w:eastAsia="仿宋_GB2312" w:cstheme="minorBidi"/>
          <w:color w:val="auto"/>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0.57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0.51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%。主要原因是工会经费、福利费</w:t>
      </w:r>
      <w:r>
        <w:rPr>
          <w:rFonts w:hint="eastAsia" w:eastAsia="仿宋_GB2312" w:cs="Times New Roman"/>
          <w:sz w:val="32"/>
          <w:szCs w:val="32"/>
          <w:lang w:eastAsia="zh-CN"/>
        </w:rPr>
        <w:t>等</w:t>
      </w:r>
      <w:r>
        <w:rPr>
          <w:rFonts w:hint="default" w:ascii="Times New Roman" w:hAnsi="Times New Roman" w:eastAsia="仿宋_GB2312" w:cs="Times New Roman"/>
          <w:sz w:val="32"/>
          <w:szCs w:val="32"/>
        </w:rPr>
        <w:t>增加。</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13.08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13.08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涵盖“</w:t>
      </w:r>
      <w:r>
        <w:rPr>
          <w:rFonts w:hint="eastAsia" w:eastAsia="仿宋_GB2312" w:cs="Times New Roman"/>
          <w:color w:val="auto"/>
          <w:sz w:val="32"/>
          <w:szCs w:val="32"/>
          <w:lang w:eastAsia="zh-CN"/>
        </w:rPr>
        <w:t>复印纸、</w:t>
      </w:r>
      <w:r>
        <w:rPr>
          <w:rFonts w:hint="default" w:ascii="Times New Roman" w:hAnsi="Times New Roman" w:eastAsia="仿宋_GB2312" w:cs="Times New Roman"/>
          <w:color w:val="auto"/>
          <w:sz w:val="32"/>
          <w:szCs w:val="32"/>
        </w:rPr>
        <w:t>车辆加油</w:t>
      </w:r>
      <w:r>
        <w:rPr>
          <w:rFonts w:hint="eastAsia" w:eastAsia="仿宋_GB2312" w:cs="Times New Roman"/>
          <w:color w:val="auto"/>
          <w:sz w:val="32"/>
          <w:szCs w:val="32"/>
          <w:lang w:eastAsia="zh-CN"/>
        </w:rPr>
        <w:t>、添加燃料</w:t>
      </w:r>
      <w:r>
        <w:rPr>
          <w:rFonts w:hint="default" w:ascii="Times New Roman" w:hAnsi="Times New Roman" w:eastAsia="仿宋_GB2312" w:cs="Times New Roman"/>
          <w:color w:val="auto"/>
          <w:sz w:val="32"/>
          <w:szCs w:val="32"/>
        </w:rPr>
        <w:t>服务</w:t>
      </w:r>
      <w:r>
        <w:rPr>
          <w:rFonts w:hint="eastAsia" w:eastAsia="仿宋_GB2312" w:cs="Times New Roman"/>
          <w:color w:val="auto"/>
          <w:sz w:val="32"/>
          <w:szCs w:val="32"/>
          <w:lang w:eastAsia="zh-CN"/>
        </w:rPr>
        <w:t>、财产</w:t>
      </w:r>
      <w:r>
        <w:rPr>
          <w:rFonts w:hint="default" w:ascii="Times New Roman" w:hAnsi="Times New Roman" w:eastAsia="仿宋_GB2312" w:cs="Times New Roman"/>
          <w:color w:val="auto"/>
          <w:sz w:val="32"/>
          <w:szCs w:val="32"/>
        </w:rPr>
        <w:t>保险服务</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车辆维修和保养服务”等采购大类，编制政府采购预算明细</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项，采购金额来源为</w:t>
      </w:r>
      <w:r>
        <w:rPr>
          <w:rFonts w:hint="eastAsia" w:eastAsia="仿宋_GB2312" w:cs="Times New Roman"/>
          <w:color w:val="auto"/>
          <w:sz w:val="32"/>
          <w:szCs w:val="32"/>
          <w:lang w:eastAsia="zh-CN"/>
        </w:rPr>
        <w:t>一般公共预算</w:t>
      </w:r>
      <w:r>
        <w:rPr>
          <w:rFonts w:hint="default" w:ascii="Times New Roman" w:hAnsi="Times New Roman" w:eastAsia="仿宋_GB2312" w:cs="Times New Roman"/>
          <w:color w:val="auto"/>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Arial Unicode MS" w:hAnsi="Arial Unicode MS" w:eastAsia="Arial Unicode MS" w:cs="Arial Unicode MS"/>
          <w:sz w:val="36"/>
          <w:szCs w:val="36"/>
        </w:rPr>
      </w:pPr>
      <w:r>
        <w:rPr>
          <w:rFonts w:hint="eastAsia" w:eastAsia="黑体" w:cs="黑体"/>
          <w:b/>
          <w:bCs/>
          <w:sz w:val="32"/>
          <w:szCs w:val="36"/>
          <w:lang w:val="en-US" w:eastAsia="zh-CN"/>
        </w:rPr>
        <w:t xml:space="preserve">  2024</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lang w:val="en-US" w:eastAsia="zh-CN"/>
        </w:rPr>
        <w:t>3</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rPr>
        <w:tab/>
      </w:r>
      <w:r>
        <w:rPr>
          <w:rFonts w:hint="eastAsia" w:eastAsia="仿宋_GB2312" w:cstheme="minorBidi"/>
          <w:sz w:val="32"/>
          <w:szCs w:val="32"/>
          <w:u w:val="single"/>
          <w:lang w:val="en-US" w:eastAsia="zh-CN"/>
        </w:rPr>
        <w:t>3</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409.37</w:t>
      </w:r>
      <w:r>
        <w:rPr>
          <w:rFonts w:hint="eastAsia" w:eastAsia="仿宋_GB2312" w:cstheme="minorBidi"/>
          <w:sz w:val="32"/>
          <w:szCs w:val="32"/>
          <w:u w:val="single"/>
        </w:rPr>
        <w:t xml:space="preserve"> </w:t>
      </w:r>
      <w:r>
        <w:rPr>
          <w:rFonts w:hint="eastAsia" w:eastAsia="仿宋_GB2312" w:cstheme="minorBidi"/>
          <w:sz w:val="32"/>
          <w:szCs w:val="32"/>
        </w:rPr>
        <w:t>万元，占全部项目预算的100%。</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hint="eastAsia" w:ascii="Arial Unicode MS" w:hAnsi="Arial Unicode MS" w:eastAsia="Arial Unicode MS" w:cs="Arial Unicode MS"/>
          <w:b w:val="0"/>
          <w:bCs w:val="0"/>
          <w:sz w:val="36"/>
          <w:szCs w:val="36"/>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jc w:val="center"/>
        <w:rPr>
          <w:rFonts w:hint="eastAsia" w:ascii="Arial Unicode MS" w:hAnsi="Arial Unicode MS" w:eastAsia="Arial Unicode MS" w:cs="Arial Unicode MS"/>
          <w:b w:val="0"/>
          <w:bCs w:val="0"/>
          <w:sz w:val="36"/>
          <w:szCs w:val="36"/>
        </w:rPr>
      </w:pPr>
    </w:p>
    <w:p>
      <w:pPr>
        <w:pageBreakBefore w:val="0"/>
        <w:kinsoku/>
        <w:wordWrap/>
        <w:overflowPunct/>
        <w:topLinePunct w:val="0"/>
        <w:bidi w:val="0"/>
        <w:spacing w:line="600" w:lineRule="exact"/>
        <w:jc w:val="center"/>
        <w:rPr>
          <w:rFonts w:hint="eastAsia" w:ascii="Arial Unicode MS" w:hAnsi="Arial Unicode MS" w:eastAsia="Arial Unicode MS" w:cs="Arial Unicode MS"/>
          <w:sz w:val="36"/>
          <w:szCs w:val="36"/>
        </w:rPr>
      </w:pPr>
      <w:r>
        <w:rPr>
          <w:rFonts w:hint="eastAsia" w:ascii="Arial Unicode MS" w:hAnsi="Arial Unicode MS" w:eastAsia="Arial Unicode MS" w:cs="Arial Unicode MS"/>
          <w:b w:val="0"/>
          <w:bCs w:val="0"/>
          <w:sz w:val="36"/>
          <w:szCs w:val="36"/>
        </w:rPr>
        <w:t>第四部分</w:t>
      </w:r>
      <w:r>
        <w:rPr>
          <w:rFonts w:hint="eastAsia" w:ascii="仿宋" w:hAnsi="仿宋" w:eastAsia="仿宋" w:cs="仿宋"/>
          <w:b w:val="0"/>
          <w:bCs w:val="0"/>
          <w:sz w:val="36"/>
          <w:szCs w:val="36"/>
        </w:rPr>
        <w:t xml:space="preserve"> </w:t>
      </w:r>
      <w:r>
        <w:rPr>
          <w:rFonts w:hint="eastAsia" w:ascii="Arial Unicode MS" w:hAnsi="Arial Unicode MS" w:eastAsia="Arial Unicode MS" w:cs="Arial Unicode MS"/>
          <w:b w:val="0"/>
          <w:bCs w:val="0"/>
          <w:sz w:val="36"/>
          <w:szCs w:val="36"/>
        </w:rPr>
        <w:t>预算公开联系方式及信息反馈渠道</w:t>
      </w: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刘欣桐</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0479-8285900</w:t>
      </w:r>
    </w:p>
    <w:p>
      <w:pPr>
        <w:pStyle w:val="7"/>
        <w:pageBreakBefore w:val="0"/>
        <w:numPr>
          <w:ilvl w:val="0"/>
          <w:numId w:val="3"/>
        </w:numPr>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 xml:space="preserve"> </w:t>
      </w:r>
      <w:r>
        <w:rPr>
          <w:rFonts w:hint="eastAsia" w:ascii="Arial Unicode MS" w:hAnsi="Arial Unicode MS" w:eastAsia="Arial Unicode MS" w:cs="Arial Unicode MS"/>
          <w:b w:val="0"/>
          <w:bCs w:val="0"/>
          <w:sz w:val="36"/>
          <w:szCs w:val="36"/>
          <w:lang w:val="en-US" w:eastAsia="zh-CN"/>
        </w:rPr>
        <w:t>2024</w:t>
      </w:r>
      <w:r>
        <w:rPr>
          <w:rFonts w:hint="eastAsia" w:ascii="Arial Unicode MS" w:hAnsi="Arial Unicode MS" w:eastAsia="Arial Unicode MS" w:cs="Arial Unicode MS"/>
          <w:b w:val="0"/>
          <w:bCs w:val="0"/>
          <w:sz w:val="36"/>
          <w:szCs w:val="36"/>
        </w:rPr>
        <w:t>年度</w:t>
      </w:r>
      <w:r>
        <w:rPr>
          <w:rFonts w:hint="eastAsia" w:ascii="Arial Unicode MS" w:hAnsi="Arial Unicode MS" w:eastAsia="Arial Unicode MS" w:cs="Arial Unicode MS"/>
          <w:b w:val="0"/>
          <w:bCs w:val="0"/>
          <w:sz w:val="36"/>
          <w:szCs w:val="36"/>
          <w:lang w:eastAsia="zh-CN"/>
        </w:rPr>
        <w:t>锡林郭勒盟公安局留置看护监管中心</w:t>
      </w:r>
      <w:r>
        <w:rPr>
          <w:rFonts w:hint="eastAsia" w:ascii="Arial Unicode MS" w:hAnsi="Arial Unicode MS" w:eastAsia="Arial Unicode MS" w:cs="Arial Unicode MS"/>
          <w:b w:val="0"/>
          <w:bCs w:val="0"/>
          <w:sz w:val="36"/>
          <w:szCs w:val="36"/>
        </w:rPr>
        <w:t>预算表</w:t>
      </w:r>
    </w:p>
    <w:p>
      <w:pPr>
        <w:pStyle w:val="7"/>
        <w:pageBreakBefore w:val="0"/>
        <w:tabs>
          <w:tab w:val="left" w:pos="4392"/>
        </w:tabs>
        <w:kinsoku/>
        <w:wordWrap/>
        <w:overflowPunct/>
        <w:topLinePunct w:val="0"/>
        <w:bidi w:val="0"/>
        <w:spacing w:before="0" w:after="0" w:line="600" w:lineRule="exact"/>
        <w:jc w:val="left"/>
        <w:rPr>
          <w:sz w:val="23"/>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45"/>
        <w:gridCol w:w="2445"/>
        <w:gridCol w:w="244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97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97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4890" w:type="dxa"/>
            <w:gridSpan w:val="2"/>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收      入</w:t>
            </w: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    目</w:t>
            </w:r>
          </w:p>
        </w:tc>
        <w:tc>
          <w:tcPr>
            <w:tcW w:w="2445" w:type="dxa"/>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c>
          <w:tcPr>
            <w:tcW w:w="2445" w:type="dxa"/>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    目</w:t>
            </w:r>
          </w:p>
        </w:tc>
        <w:tc>
          <w:tcPr>
            <w:tcW w:w="2445" w:type="dxa"/>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15,016,815.70</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三、国防支出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四、财政专户管理资金收入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四、公共安全支出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16,633,193.87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五、事业收入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五、教育支出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六、事业单位经营收入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六、科学技术支出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七、上级补助收入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七、文化体育旅游与传媒支出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八、附属单位上缴收入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九、其他收入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九、社会保险基金支出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十、卫生健康支出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359,356.63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十一、节能环保支出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十二、城市社区支出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十三、农林水支出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十四、交通运输支出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十五、资源勘探工业信息等支出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十六、商业服务业等支出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十七、金融支出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十八、援助其他地区支出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十九、自然资源海洋气象等支出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二十、住房保障支出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1,157,473.17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二十一、粮油物资储备支出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二十二、国有资本经营预算支出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二十三、灾害防治及应急管理支出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二十四、预备费</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二十五、其他支出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二十六、转移性支付</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二十七、债务还本支出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二十八、债务付息支出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二十九、债务发行费用支出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三十、抗疫特别国债还本支出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三十一、与中央财政往来性支出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15,016,815.70</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18,970,553.72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上年结转结余</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3,953,738.02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年终结转结余</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18,970,553.72</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18,970,553.72</w:t>
            </w:r>
          </w:p>
        </w:tc>
      </w:tr>
    </w:tbl>
    <w:p>
      <w:pPr>
        <w:pageBreakBefore w:val="0"/>
        <w:kinsoku/>
        <w:wordWrap/>
        <w:overflowPunct/>
        <w:topLinePunct w:val="0"/>
        <w:bidi w:val="0"/>
        <w:spacing w:line="600" w:lineRule="exact"/>
        <w:rPr>
          <w:rFonts w:eastAsia="仿宋_GB2312" w:cstheme="minorBidi"/>
          <w:sz w:val="30"/>
          <w:szCs w:val="30"/>
        </w:rPr>
      </w:pPr>
    </w:p>
    <w:p>
      <w:pPr>
        <w:pStyle w:val="2"/>
        <w:rPr>
          <w:rFonts w:eastAsia="仿宋_GB2312" w:cstheme="minorBidi"/>
          <w:sz w:val="30"/>
          <w:szCs w:val="30"/>
        </w:rPr>
      </w:pPr>
    </w:p>
    <w:p>
      <w:pPr>
        <w:pStyle w:val="2"/>
        <w:rPr>
          <w:rFonts w:eastAsia="仿宋_GB2312" w:cstheme="minorBidi"/>
          <w:sz w:val="30"/>
          <w:szCs w:val="30"/>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6"/>
        <w:gridCol w:w="1080"/>
        <w:gridCol w:w="400"/>
        <w:gridCol w:w="400"/>
        <w:gridCol w:w="455"/>
        <w:gridCol w:w="526"/>
        <w:gridCol w:w="596"/>
        <w:gridCol w:w="596"/>
        <w:gridCol w:w="313"/>
        <w:gridCol w:w="596"/>
        <w:gridCol w:w="455"/>
        <w:gridCol w:w="596"/>
        <w:gridCol w:w="313"/>
        <w:gridCol w:w="371"/>
        <w:gridCol w:w="455"/>
        <w:gridCol w:w="526"/>
        <w:gridCol w:w="596"/>
        <w:gridCol w:w="596"/>
        <w:gridCol w:w="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vMerge w:val="restar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部门（单位）代码</w:t>
            </w:r>
          </w:p>
        </w:tc>
        <w:tc>
          <w:tcPr>
            <w:tcW w:w="0" w:type="auto"/>
            <w:vMerge w:val="restar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部门（单位）名称</w:t>
            </w:r>
          </w:p>
        </w:tc>
        <w:tc>
          <w:tcPr>
            <w:tcW w:w="0" w:type="auto"/>
            <w:vMerge w:val="restar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0" w:type="auto"/>
            <w:gridSpan w:val="10"/>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本年收入</w:t>
            </w:r>
          </w:p>
        </w:tc>
        <w:tc>
          <w:tcPr>
            <w:tcW w:w="0" w:type="auto"/>
            <w:gridSpan w:val="6"/>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vMerge w:val="continue"/>
            <w:tcBorders>
              <w:top w:val="nil"/>
              <w:left w:val="nil"/>
              <w:bottom w:val="nil"/>
              <w:right w:val="nil"/>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0" w:type="auto"/>
            <w:vMerge w:val="continue"/>
            <w:tcBorders>
              <w:top w:val="nil"/>
              <w:left w:val="nil"/>
              <w:bottom w:val="nil"/>
              <w:right w:val="nil"/>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0" w:type="auto"/>
            <w:vMerge w:val="continue"/>
            <w:tcBorders>
              <w:top w:val="nil"/>
              <w:left w:val="nil"/>
              <w:bottom w:val="nil"/>
              <w:right w:val="nil"/>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事业收入</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事业单位经营收入</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上级补助收入</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附属单位上缴收入</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其他收入</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0" w:type="auto"/>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18,970,553.72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15,016,815.70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15,016,815.70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3,953,738.02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3,953,738.02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3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3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18,970,553.72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15,016,815.70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15,016,815.70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3,953,738.02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3,953,738.02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18,970,553.72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15,016,815.70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15,016,815.70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3,953,738.02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3,953,738.02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5"/>
        <w:gridCol w:w="2414"/>
        <w:gridCol w:w="910"/>
        <w:gridCol w:w="910"/>
        <w:gridCol w:w="843"/>
        <w:gridCol w:w="1379"/>
        <w:gridCol w:w="1042"/>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1240"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428"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53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795"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1240"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463"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463"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428"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c>
          <w:tcPr>
            <w:tcW w:w="705"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事业单位经营支出</w:t>
            </w:r>
          </w:p>
        </w:tc>
        <w:tc>
          <w:tcPr>
            <w:tcW w:w="531"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上缴上级支出</w:t>
            </w:r>
          </w:p>
        </w:tc>
        <w:tc>
          <w:tcPr>
            <w:tcW w:w="795"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16,633,193.87</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12,539,455.85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4,093,738.02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公安</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16,633,193.87</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12,539,455.85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4,093,738.02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2040201</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12,539,455.85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12,539,455.85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2040202</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一般行政管理事务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4,093,738.02</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4,093,738.02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820,530.05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行政事业单位养老支出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820,530.05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机关事业单位基本养老保险缴费支出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820,530.05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359,356.63</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359,356.63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359,356.63</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359,356.63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2101101</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行政单位医疗</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311,717.75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311,717.75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47,638.88</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47,638.88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1,157,473.17</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1,157,473.17</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1,157,473.17</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1,157,473.17</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750,921.15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750,921.15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2210203</w:t>
            </w:r>
          </w:p>
        </w:tc>
        <w:tc>
          <w:tcPr>
            <w:tcW w:w="124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购房补贴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406,552.02</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406,552.02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3" w:hRule="atLeast"/>
        </w:trPr>
        <w:tc>
          <w:tcPr>
            <w:tcW w:w="37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18,970,553.72</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14,876,815.70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4,093,738.02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45"/>
        <w:gridCol w:w="2445"/>
        <w:gridCol w:w="244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1250"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1250"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1250"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收      入</w:t>
            </w:r>
          </w:p>
        </w:tc>
        <w:tc>
          <w:tcPr>
            <w:tcW w:w="2500" w:type="pct"/>
            <w:gridSpan w:val="2"/>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w:t>
            </w:r>
          </w:p>
        </w:tc>
        <w:tc>
          <w:tcPr>
            <w:tcW w:w="1250"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c>
          <w:tcPr>
            <w:tcW w:w="1250"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w:t>
            </w:r>
          </w:p>
        </w:tc>
        <w:tc>
          <w:tcPr>
            <w:tcW w:w="1250"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一、本年收入</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15,016,815.70</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一、本年支出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18,970,553.72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15,016,815.70</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（三）国防支出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二、上年结转</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3,953,738.02</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（四）公共安全支出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16,633,193.87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3,953,738.02</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（五）教育支出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（六）科学技术支出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（七）文化体育旅游与传媒支出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（九）社会保险基金支出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（十）卫生健康支出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359,356.63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（十一）节能环保支出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（十二）城市社区支出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（十三）农林水支出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（十四）交通运输支出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（十五）资源勘探工业信息等支出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（十六）商业服务业等支出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（十七）金融支出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（十八）援助其他地区支出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（十九）自然资源海洋气象等支出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（二十）住房保障支出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1,157,473.17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（二十一）粮油物资储备支出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（二十二）国有资本经营预算支出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（二十三）灾害防治及应急管理支出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（二十四）预备费</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（二十五）其他支出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（二十六）转移性支付</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（二十七）债务还本支出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（二十八）债务付息支出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（二十九）债务发行费用支出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（三十）抗疫特别国债还本支出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（三十一）与中央财政往来性支出</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二、年终结转结余</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18,970,553.72</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18,970,553.72</w:t>
            </w:r>
          </w:p>
        </w:tc>
      </w:tr>
    </w:tbl>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47"/>
        <w:gridCol w:w="3132"/>
        <w:gridCol w:w="1175"/>
        <w:gridCol w:w="1175"/>
        <w:gridCol w:w="1175"/>
        <w:gridCol w:w="108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1605"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55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5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vMerge w:val="restar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1605" w:type="pct"/>
            <w:vMerge w:val="restar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599" w:type="pct"/>
            <w:vMerge w:val="restar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1754" w:type="pct"/>
            <w:gridSpan w:val="3"/>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557" w:type="pct"/>
            <w:vMerge w:val="restar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vMerge w:val="continue"/>
            <w:tcBorders>
              <w:top w:val="nil"/>
              <w:left w:val="nil"/>
              <w:bottom w:val="nil"/>
              <w:right w:val="nil"/>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605" w:type="pct"/>
            <w:vMerge w:val="continue"/>
            <w:tcBorders>
              <w:top w:val="nil"/>
              <w:left w:val="nil"/>
              <w:bottom w:val="nil"/>
              <w:right w:val="nil"/>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599" w:type="pct"/>
            <w:vMerge w:val="continue"/>
            <w:tcBorders>
              <w:top w:val="nil"/>
              <w:left w:val="nil"/>
              <w:bottom w:val="nil"/>
              <w:right w:val="nil"/>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599"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599"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人员经费</w:t>
            </w:r>
          </w:p>
        </w:tc>
        <w:tc>
          <w:tcPr>
            <w:tcW w:w="554"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公用经费</w:t>
            </w:r>
          </w:p>
        </w:tc>
        <w:tc>
          <w:tcPr>
            <w:tcW w:w="557" w:type="pct"/>
            <w:vMerge w:val="continue"/>
            <w:tcBorders>
              <w:top w:val="nil"/>
              <w:left w:val="nil"/>
              <w:bottom w:val="nil"/>
              <w:right w:val="nil"/>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16,633,193.87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12,539,455.85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11,410,248.89</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1,129,206.96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4,093,738.02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公安</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16,633,193.87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12,539,455.85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11,410,248.89</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1,129,206.96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4,093,738.02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2040201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12,539,455.85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12,539,455.85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11,410,248.89</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1,129,206.96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2040202</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一般行政管理事务</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4,093,738.02</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4,093,738.02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820,530.05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行政事业单位养老支出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820,530.05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机关事业单位基本养老保险缴费支出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820,530.05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359,356.63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359,356.63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359,356.63</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359,356.63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359,356.63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359,356.63</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行政单位医疗</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311,717.75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311,717.75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311,717.75</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47,638.88</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47,638.88</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47,638.88</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1,157,473.17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1,157,473.17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1,157,473.17</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1,157,473.17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1,157,473.17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1,157,473.17</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750,921.15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750,921.15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750,921.15</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2210203</w:t>
            </w:r>
          </w:p>
        </w:tc>
        <w:tc>
          <w:tcPr>
            <w:tcW w:w="160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购房补贴</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406,552.02</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406,552.02</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406,552.02</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48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18,970,553.72</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14,876,815.70</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13,747,608.74</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1,129,206.96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4,093,738.02</w:t>
            </w:r>
          </w:p>
        </w:tc>
      </w:tr>
    </w:tbl>
    <w:p>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7"/>
        <w:gridCol w:w="3697"/>
        <w:gridCol w:w="1645"/>
        <w:gridCol w:w="1645"/>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48"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1890"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84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84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778"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2538" w:type="pct"/>
            <w:gridSpan w:val="2"/>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部门预算支出经济分类科目</w:t>
            </w:r>
          </w:p>
        </w:tc>
        <w:tc>
          <w:tcPr>
            <w:tcW w:w="2461" w:type="pct"/>
            <w:gridSpan w:val="3"/>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48"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1890"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841"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841"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人员经费</w:t>
            </w:r>
          </w:p>
        </w:tc>
        <w:tc>
          <w:tcPr>
            <w:tcW w:w="778" w:type="pct"/>
            <w:tcBorders>
              <w:top w:val="nil"/>
              <w:left w:val="nil"/>
              <w:bottom w:val="nil"/>
              <w:right w:val="nil"/>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13,871,608.74</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13,747,608.74</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30101</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基本工资</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1,978,725.60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1,978,725.60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30102</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津贴补贴</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4,624,450.02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4,624,450.02</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30103</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奖金</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757,058.48</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733,058.48</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30108</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820,530.05</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30110</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职工基本医疗保险缴费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311,717.75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311,717.75</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30111</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公务员医疗补助缴费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47,638.88</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47,638.88</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30112</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其他社会保障缴费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110,256.63</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10,256.63</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30113</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750,921.15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750,921.15</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30199</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其他工资福利支出</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4,470,310.18</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4,470,310.18</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商品和服务支出</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1,005,206.96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1,005,206.96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30201</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87,800.00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30204</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手续费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30213</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维修（护）费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30216</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30227</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委托业务费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30228</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工会经费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147,239.56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147,239.56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30229</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福利费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123,392.40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123,392.40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30231</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公务用车运行维护费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30239</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其他交通费用</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433,575.00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433,575.00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30299</w:t>
            </w:r>
          </w:p>
        </w:tc>
        <w:tc>
          <w:tcPr>
            <w:tcW w:w="189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其他商品和服务支出</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4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14,876,815.70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13,747,608.74</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1,129,206.96</w:t>
            </w:r>
          </w:p>
        </w:tc>
      </w:tr>
    </w:tbl>
    <w:p>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06"/>
        <w:gridCol w:w="2065"/>
        <w:gridCol w:w="1307"/>
        <w:gridCol w:w="1307"/>
        <w:gridCol w:w="671"/>
        <w:gridCol w:w="1148"/>
        <w:gridCol w:w="1148"/>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68"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1060"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668"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668"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39"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68"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部门（单位）代码</w:t>
            </w:r>
          </w:p>
        </w:tc>
        <w:tc>
          <w:tcPr>
            <w:tcW w:w="1060"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部门（单位）名称</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“三公”经费合计</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因公出国（境）费</w:t>
            </w:r>
          </w:p>
        </w:tc>
        <w:tc>
          <w:tcPr>
            <w:tcW w:w="1511" w:type="pct"/>
            <w:gridSpan w:val="3"/>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公务用车购置及运行费</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060"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585"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公务用车购置费</w:t>
            </w:r>
          </w:p>
        </w:tc>
        <w:tc>
          <w:tcPr>
            <w:tcW w:w="585"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公务用车运行费</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130,000.00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130,000.00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130,000.00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7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130,000.00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130,000.00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130,000.00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18"/>
        <w:gridCol w:w="1839"/>
        <w:gridCol w:w="941"/>
        <w:gridCol w:w="1837"/>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97"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939"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48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939"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94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697"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939"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2362" w:type="pct"/>
            <w:gridSpan w:val="3"/>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697"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939"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939"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941"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6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169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本单位无政府性基金预算</w:t>
            </w:r>
          </w:p>
        </w:tc>
        <w:tc>
          <w:tcPr>
            <w:tcW w:w="939"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48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939"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94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bl>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09"/>
        <w:gridCol w:w="1786"/>
        <w:gridCol w:w="913"/>
        <w:gridCol w:w="1784"/>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94"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912"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912"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91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794"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912"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2292" w:type="pct"/>
            <w:gridSpan w:val="3"/>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794"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912"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912"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913"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7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79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本单位无国有资本经营预算</w:t>
            </w:r>
          </w:p>
        </w:tc>
        <w:tc>
          <w:tcPr>
            <w:tcW w:w="912"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912"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91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bl>
    <w:p>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9"/>
        <w:gridCol w:w="746"/>
        <w:gridCol w:w="1802"/>
        <w:gridCol w:w="372"/>
        <w:gridCol w:w="1120"/>
        <w:gridCol w:w="442"/>
        <w:gridCol w:w="543"/>
        <w:gridCol w:w="629"/>
        <w:gridCol w:w="714"/>
        <w:gridCol w:w="543"/>
        <w:gridCol w:w="629"/>
        <w:gridCol w:w="714"/>
        <w:gridCol w:w="714"/>
        <w:gridCol w:w="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24"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38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92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190"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572"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225"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27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2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65"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27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2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65"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65"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190"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类型</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921"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单位编码</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项目单位</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本年拨款</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财政拨款结转结余</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921"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321"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365"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277"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321"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365"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152500241193110000073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140,000.00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140,000.00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152500231193110000107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锡林郭勒盟公安局留置看护监管中心业务技术用房改造工程</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3,913,600.00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3,913,600.00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152500222000000045595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留置看护差旅资金</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40,138.02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40,138.02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28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4,093,738.02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140,000.00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3,953,738.02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1"/>
        <w:gridCol w:w="751"/>
        <w:gridCol w:w="751"/>
        <w:gridCol w:w="751"/>
        <w:gridCol w:w="751"/>
        <w:gridCol w:w="751"/>
        <w:gridCol w:w="751"/>
        <w:gridCol w:w="751"/>
        <w:gridCol w:w="751"/>
        <w:gridCol w:w="751"/>
        <w:gridCol w:w="751"/>
        <w:gridCol w:w="751"/>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32"/>
                <w:szCs w:val="32"/>
                <w:u w:val="none"/>
                <w:lang w:val="en-US"/>
              </w:rPr>
            </w:pPr>
            <w:r>
              <w:rPr>
                <w:rFonts w:hint="eastAsia" w:ascii="宋体" w:hAnsi="宋体" w:eastAsia="宋体" w:cs="宋体"/>
                <w:b/>
                <w:i w:val="0"/>
                <w:color w:val="000000"/>
                <w:kern w:val="0"/>
                <w:sz w:val="32"/>
                <w:szCs w:val="32"/>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86"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项目单位</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项目类别</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年度绩效目标</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一级指标</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二级指标</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三级指标</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指标性质</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指标方向</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目标值</w:t>
            </w:r>
          </w:p>
        </w:tc>
        <w:tc>
          <w:tcPr>
            <w:tcW w:w="38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计量单位</w:t>
            </w:r>
          </w:p>
        </w:tc>
        <w:tc>
          <w:tcPr>
            <w:tcW w:w="386"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在职住房改革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1,157,473.17</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在职住房改革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在职住房改革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在职住房改革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在职保险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1,190,143.31</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在职保险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在职保险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在职保险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在职工资</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7,297,992.26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在职工资</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在职工资</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在职工资</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辅警工资福利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4,102,000.00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辅警工资福利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辅警工资福利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辅警工资福利</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定额公用经费(1)</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295,000.00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定额公用经费(1)</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定额公用经费(1)</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定额公用经费(1)</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697,006.96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2024年度在职妇女卫生费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2024年度在职妇女卫生费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2024年度在职妇女卫生费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2024年度在职妇女卫生费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树立人员形象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展现良好公安形象，配合纪委完成留置任务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树立良好民警察形象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更好的配合纪委监委完成留置看护任务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规范公安机关人民警察着装行为，树立人民警察良好形象，展现留置看护队员良好的精神风貌</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支付服装成本比例</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百分比</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服装发放时间</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服装购买完成时间</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服装质量合格率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百分比</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民辅警服装配备率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百分比</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民辅警服装发放率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百分比</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服装采购成本</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民辅警满意度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百分比</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留置被装费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119007-锡林郭勒盟公安局留置看护监管中心</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购买被装，形成留置看护队伍统一标识，树立人民警察良好形象。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民警务辅助人数</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15,016,815.70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r>
    </w:tbl>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2"/>
        <w:gridCol w:w="1021"/>
        <w:gridCol w:w="680"/>
        <w:gridCol w:w="494"/>
        <w:gridCol w:w="711"/>
        <w:gridCol w:w="341"/>
        <w:gridCol w:w="341"/>
        <w:gridCol w:w="341"/>
        <w:gridCol w:w="342"/>
        <w:gridCol w:w="496"/>
        <w:gridCol w:w="574"/>
        <w:gridCol w:w="652"/>
        <w:gridCol w:w="652"/>
        <w:gridCol w:w="341"/>
        <w:gridCol w:w="652"/>
        <w:gridCol w:w="496"/>
        <w:gridCol w:w="652"/>
        <w:gridCol w:w="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000" w:type="pct"/>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32"/>
                <w:szCs w:val="32"/>
                <w:u w:val="none"/>
                <w:lang w:val="en-US"/>
              </w:rPr>
            </w:pPr>
            <w:r>
              <w:rPr>
                <w:rFonts w:hint="eastAsia" w:ascii="宋体" w:hAnsi="宋体" w:eastAsia="宋体" w:cs="宋体"/>
                <w:b/>
                <w:i w:val="0"/>
                <w:color w:val="000000"/>
                <w:kern w:val="0"/>
                <w:sz w:val="32"/>
                <w:szCs w:val="32"/>
                <w:u w:val="none"/>
                <w:lang w:val="en-US" w:eastAsia="zh-CN" w:bidi="ar"/>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33"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0"/>
                <w:szCs w:val="20"/>
                <w:u w:val="none"/>
              </w:rPr>
            </w:pPr>
          </w:p>
        </w:tc>
        <w:tc>
          <w:tcPr>
            <w:tcW w:w="52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4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252"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6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17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17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17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17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25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29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3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3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17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3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25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333"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c>
          <w:tcPr>
            <w:tcW w:w="17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部门（单位）代码</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部门（单位）名称</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采购品目</w:t>
            </w:r>
          </w:p>
        </w:tc>
        <w:tc>
          <w:tcPr>
            <w:tcW w:w="523" w:type="pct"/>
            <w:gridSpan w:val="3"/>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申报情况</w:t>
            </w:r>
          </w:p>
        </w:tc>
        <w:tc>
          <w:tcPr>
            <w:tcW w:w="2657" w:type="pct"/>
            <w:gridSpan w:val="10"/>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jc w:val="center"/>
              <w:rPr>
                <w:rFonts w:hint="eastAsia" w:ascii="宋体" w:hAnsi="宋体" w:eastAsia="宋体" w:cs="宋体"/>
                <w:b/>
                <w:i w:val="0"/>
                <w:color w:val="000000"/>
                <w:sz w:val="30"/>
                <w:szCs w:val="3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申请数量</w:t>
            </w:r>
          </w:p>
        </w:tc>
        <w:tc>
          <w:tcPr>
            <w:tcW w:w="17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单价(元)</w:t>
            </w:r>
          </w:p>
        </w:tc>
        <w:tc>
          <w:tcPr>
            <w:tcW w:w="17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金额(元)</w:t>
            </w:r>
          </w:p>
        </w:tc>
        <w:tc>
          <w:tcPr>
            <w:tcW w:w="17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253"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293"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333"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333"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17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事业收入</w:t>
            </w:r>
          </w:p>
        </w:tc>
        <w:tc>
          <w:tcPr>
            <w:tcW w:w="333"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事业单位经营收入</w:t>
            </w:r>
          </w:p>
        </w:tc>
        <w:tc>
          <w:tcPr>
            <w:tcW w:w="253"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上级补助收入</w:t>
            </w:r>
          </w:p>
        </w:tc>
        <w:tc>
          <w:tcPr>
            <w:tcW w:w="333"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附属单位上缴收入</w:t>
            </w:r>
          </w:p>
        </w:tc>
        <w:tc>
          <w:tcPr>
            <w:tcW w:w="174" w:type="pct"/>
            <w:tcBorders>
              <w:top w:val="single" w:color="000000" w:sz="4" w:space="0"/>
              <w:left w:val="single" w:color="000000" w:sz="4" w:space="0"/>
              <w:bottom w:val="single" w:color="000000" w:sz="4" w:space="0"/>
              <w:right w:val="single" w:color="000000" w:sz="4" w:space="0"/>
            </w:tcBorders>
            <w:shd w:val="clear" w:color="auto" w:fill="01B0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152500241192110000016</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复印纸</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5,800.00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5,800.00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152500241192110000091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车辆加油、添加燃料服务</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90,000.00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90,000.00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152500241192110000091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财产保险服务</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119007</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锡林郭勒盟公安局留置看护监管中心</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152500241192110000091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车辆维修和保养服务</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25,000.00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25,000.00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81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43</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130800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130,800.00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130,800.00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2E023E-8AAD-45C6-9690-F5FDCDC855A5}"/>
  </w:font>
  <w:font w:name="黑体">
    <w:panose1 w:val="02010609060101010101"/>
    <w:charset w:val="86"/>
    <w:family w:val="auto"/>
    <w:pitch w:val="default"/>
    <w:sig w:usb0="800002BF" w:usb1="38CF7CFA" w:usb2="00000016" w:usb3="00000000" w:csb0="00040001" w:csb1="00000000"/>
    <w:embedRegular r:id="rId2" w:fontKey="{3B6218C0-CBE7-4B1E-9D2C-AFA1F29BD2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60EB3E62-310C-47E1-A09D-A191EBB275BC}"/>
  </w:font>
  <w:font w:name="Calibri">
    <w:panose1 w:val="020F0502020204030204"/>
    <w:charset w:val="00"/>
    <w:family w:val="swiss"/>
    <w:pitch w:val="default"/>
    <w:sig w:usb0="E4002EFF" w:usb1="C000247B" w:usb2="00000009" w:usb3="00000000" w:csb0="200001FF" w:csb1="00000000"/>
    <w:embedRegular r:id="rId4" w:fontKey="{43312118-3470-4DE9-AA90-1A95F894E69E}"/>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5" w:fontKey="{583E0196-25C5-496F-A3ED-EE8E6DE334EE}"/>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embedRegular r:id="rId6" w:fontKey="{2C740249-F6A2-4B88-8510-122105CB96C3}"/>
  </w:font>
  <w:font w:name="仿宋">
    <w:panose1 w:val="02010609060101010101"/>
    <w:charset w:val="86"/>
    <w:family w:val="auto"/>
    <w:pitch w:val="default"/>
    <w:sig w:usb0="800002BF" w:usb1="38CF7CFA" w:usb2="00000016" w:usb3="00000000" w:csb0="00040001" w:csb1="00000000"/>
    <w:embedRegular r:id="rId7" w:fontKey="{AD51F56E-2905-4E6F-976D-488DFF93486D}"/>
  </w:font>
  <w:font w:name="楷体">
    <w:panose1 w:val="02010609060101010101"/>
    <w:charset w:val="86"/>
    <w:family w:val="decorative"/>
    <w:pitch w:val="default"/>
    <w:sig w:usb0="800002BF" w:usb1="38CF7CFA" w:usb2="00000016" w:usb3="00000000" w:csb0="00040001" w:csb1="00000000"/>
    <w:embedRegular r:id="rId8" w:fontKey="{EFF3F574-7297-42FE-AE44-C73FC1C5C51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65AC68E"/>
    <w:multiLevelType w:val="singleLevel"/>
    <w:tmpl w:val="465AC68E"/>
    <w:lvl w:ilvl="0" w:tentative="0">
      <w:start w:val="5"/>
      <w:numFmt w:val="chineseCounting"/>
      <w:suff w:val="space"/>
      <w:lvlText w:val="第%1部分"/>
      <w:lvlJc w:val="left"/>
      <w:rPr>
        <w:rFonts w:hint="eastAsia"/>
      </w:rPr>
    </w:lvl>
  </w:abstractNum>
  <w:abstractNum w:abstractNumId="2">
    <w:nsid w:val="4EC74364"/>
    <w:multiLevelType w:val="singleLevel"/>
    <w:tmpl w:val="4EC7436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TBkMDM5YWUzNTMzYWUzYjNmNDhhNzMzODQ1M2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1F72B1"/>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0FDA"/>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9F177A"/>
    <w:rsid w:val="01EC612D"/>
    <w:rsid w:val="02562D81"/>
    <w:rsid w:val="03C84930"/>
    <w:rsid w:val="03DF7E09"/>
    <w:rsid w:val="048320BB"/>
    <w:rsid w:val="04A843E8"/>
    <w:rsid w:val="04B33DCC"/>
    <w:rsid w:val="04B563C2"/>
    <w:rsid w:val="04DA1A43"/>
    <w:rsid w:val="053300CD"/>
    <w:rsid w:val="05531A54"/>
    <w:rsid w:val="05B17799"/>
    <w:rsid w:val="05D83CB4"/>
    <w:rsid w:val="05F92C68"/>
    <w:rsid w:val="06571B7A"/>
    <w:rsid w:val="077111CE"/>
    <w:rsid w:val="0772575A"/>
    <w:rsid w:val="07934E62"/>
    <w:rsid w:val="079F17A4"/>
    <w:rsid w:val="07DA3A8F"/>
    <w:rsid w:val="089D7C92"/>
    <w:rsid w:val="08CC72CD"/>
    <w:rsid w:val="09920CC4"/>
    <w:rsid w:val="09C92DD3"/>
    <w:rsid w:val="09CF6E4B"/>
    <w:rsid w:val="0A176E10"/>
    <w:rsid w:val="0A8611BD"/>
    <w:rsid w:val="0B0E6339"/>
    <w:rsid w:val="0B6B045B"/>
    <w:rsid w:val="0BD554C2"/>
    <w:rsid w:val="0C6C1C3D"/>
    <w:rsid w:val="0CD22F3C"/>
    <w:rsid w:val="0D4B128E"/>
    <w:rsid w:val="0DA652F3"/>
    <w:rsid w:val="0DBB4871"/>
    <w:rsid w:val="0E402D55"/>
    <w:rsid w:val="0E4E4C6A"/>
    <w:rsid w:val="0E66082C"/>
    <w:rsid w:val="0E7B4525"/>
    <w:rsid w:val="0F995056"/>
    <w:rsid w:val="10767327"/>
    <w:rsid w:val="10F45106"/>
    <w:rsid w:val="11304CEB"/>
    <w:rsid w:val="11A14EA6"/>
    <w:rsid w:val="11AF4DCB"/>
    <w:rsid w:val="12912FF1"/>
    <w:rsid w:val="12955111"/>
    <w:rsid w:val="12CC6E6D"/>
    <w:rsid w:val="13806E42"/>
    <w:rsid w:val="13A607E7"/>
    <w:rsid w:val="140E7482"/>
    <w:rsid w:val="143250AA"/>
    <w:rsid w:val="1440520B"/>
    <w:rsid w:val="14737EE6"/>
    <w:rsid w:val="164D46C3"/>
    <w:rsid w:val="165F1F17"/>
    <w:rsid w:val="16DD536D"/>
    <w:rsid w:val="17BC5001"/>
    <w:rsid w:val="183A0A1F"/>
    <w:rsid w:val="18550C19"/>
    <w:rsid w:val="187A7E8F"/>
    <w:rsid w:val="198C1D89"/>
    <w:rsid w:val="19CE7B59"/>
    <w:rsid w:val="19F172CD"/>
    <w:rsid w:val="1B244A90"/>
    <w:rsid w:val="1B74013C"/>
    <w:rsid w:val="1C015780"/>
    <w:rsid w:val="1CAE32BE"/>
    <w:rsid w:val="1CFA34AD"/>
    <w:rsid w:val="1D07275B"/>
    <w:rsid w:val="1D401919"/>
    <w:rsid w:val="1DC412E4"/>
    <w:rsid w:val="1E0D2BED"/>
    <w:rsid w:val="1E591AD6"/>
    <w:rsid w:val="1EC40028"/>
    <w:rsid w:val="1F01453E"/>
    <w:rsid w:val="1F14499E"/>
    <w:rsid w:val="1F3F6EB0"/>
    <w:rsid w:val="1F4E07BD"/>
    <w:rsid w:val="1F5B26C7"/>
    <w:rsid w:val="203A4DF7"/>
    <w:rsid w:val="20476BE1"/>
    <w:rsid w:val="20626EA6"/>
    <w:rsid w:val="210F1633"/>
    <w:rsid w:val="21655522"/>
    <w:rsid w:val="22265AD7"/>
    <w:rsid w:val="224109E7"/>
    <w:rsid w:val="22A144DF"/>
    <w:rsid w:val="22EB689E"/>
    <w:rsid w:val="23085DEF"/>
    <w:rsid w:val="23B972A6"/>
    <w:rsid w:val="2472310C"/>
    <w:rsid w:val="249C2E00"/>
    <w:rsid w:val="24C56DDB"/>
    <w:rsid w:val="24D25310"/>
    <w:rsid w:val="261B7595"/>
    <w:rsid w:val="263913CC"/>
    <w:rsid w:val="26CE5027"/>
    <w:rsid w:val="27F62AEE"/>
    <w:rsid w:val="2866365B"/>
    <w:rsid w:val="298F01D1"/>
    <w:rsid w:val="2AC409F4"/>
    <w:rsid w:val="2AC461E7"/>
    <w:rsid w:val="2B230EA3"/>
    <w:rsid w:val="2B9D683D"/>
    <w:rsid w:val="2BDD6474"/>
    <w:rsid w:val="2C16642F"/>
    <w:rsid w:val="2CA41A1B"/>
    <w:rsid w:val="2CE8092C"/>
    <w:rsid w:val="2CF23FA9"/>
    <w:rsid w:val="2D2F7272"/>
    <w:rsid w:val="2DDE2C59"/>
    <w:rsid w:val="2E464FD8"/>
    <w:rsid w:val="2E50057C"/>
    <w:rsid w:val="2E793412"/>
    <w:rsid w:val="2F160ACE"/>
    <w:rsid w:val="2F204A26"/>
    <w:rsid w:val="2F3045A4"/>
    <w:rsid w:val="2F567AA0"/>
    <w:rsid w:val="30043F67"/>
    <w:rsid w:val="302E0919"/>
    <w:rsid w:val="309F5392"/>
    <w:rsid w:val="30CE11CC"/>
    <w:rsid w:val="3161171F"/>
    <w:rsid w:val="319A28B2"/>
    <w:rsid w:val="31DD3BCC"/>
    <w:rsid w:val="3276083D"/>
    <w:rsid w:val="328F2661"/>
    <w:rsid w:val="32CE4A1C"/>
    <w:rsid w:val="33905BDA"/>
    <w:rsid w:val="339A0DEF"/>
    <w:rsid w:val="339B19D0"/>
    <w:rsid w:val="33C337E9"/>
    <w:rsid w:val="34AF1B91"/>
    <w:rsid w:val="3508551A"/>
    <w:rsid w:val="359C0F7A"/>
    <w:rsid w:val="3624677A"/>
    <w:rsid w:val="37776170"/>
    <w:rsid w:val="378B37C3"/>
    <w:rsid w:val="37BE57F0"/>
    <w:rsid w:val="383B0BDA"/>
    <w:rsid w:val="38B95ABD"/>
    <w:rsid w:val="38EC2847"/>
    <w:rsid w:val="38F2725A"/>
    <w:rsid w:val="390327B2"/>
    <w:rsid w:val="3941563D"/>
    <w:rsid w:val="39C037CE"/>
    <w:rsid w:val="3A172CF3"/>
    <w:rsid w:val="3A86167D"/>
    <w:rsid w:val="3AA15F7F"/>
    <w:rsid w:val="3AE332B3"/>
    <w:rsid w:val="3B0C4BA9"/>
    <w:rsid w:val="3C8C247C"/>
    <w:rsid w:val="3D65545B"/>
    <w:rsid w:val="3D7D2458"/>
    <w:rsid w:val="3E7C6D69"/>
    <w:rsid w:val="3EE8730B"/>
    <w:rsid w:val="3EF66E5A"/>
    <w:rsid w:val="3FA119B7"/>
    <w:rsid w:val="3FBC34EA"/>
    <w:rsid w:val="40177DE3"/>
    <w:rsid w:val="40976810"/>
    <w:rsid w:val="417A1877"/>
    <w:rsid w:val="41D635CB"/>
    <w:rsid w:val="422711D3"/>
    <w:rsid w:val="432253DD"/>
    <w:rsid w:val="43501007"/>
    <w:rsid w:val="43863DDA"/>
    <w:rsid w:val="43AD7A4C"/>
    <w:rsid w:val="43B44CF4"/>
    <w:rsid w:val="444939F2"/>
    <w:rsid w:val="44662998"/>
    <w:rsid w:val="4515445A"/>
    <w:rsid w:val="45551365"/>
    <w:rsid w:val="4653517F"/>
    <w:rsid w:val="472F211D"/>
    <w:rsid w:val="476F66C2"/>
    <w:rsid w:val="47BC5133"/>
    <w:rsid w:val="47CE6ABA"/>
    <w:rsid w:val="480C1B9E"/>
    <w:rsid w:val="482809DA"/>
    <w:rsid w:val="48810630"/>
    <w:rsid w:val="498122D3"/>
    <w:rsid w:val="49A345D8"/>
    <w:rsid w:val="4A0B7731"/>
    <w:rsid w:val="4A3A7537"/>
    <w:rsid w:val="4A562D79"/>
    <w:rsid w:val="4A9A751F"/>
    <w:rsid w:val="4AB8212E"/>
    <w:rsid w:val="4AE10089"/>
    <w:rsid w:val="4B177614"/>
    <w:rsid w:val="4B3A3DE4"/>
    <w:rsid w:val="4B77032C"/>
    <w:rsid w:val="4B852596"/>
    <w:rsid w:val="4BCA4DC2"/>
    <w:rsid w:val="4C1526B1"/>
    <w:rsid w:val="4CC43F74"/>
    <w:rsid w:val="4D3806BD"/>
    <w:rsid w:val="4EB70561"/>
    <w:rsid w:val="4EF75452"/>
    <w:rsid w:val="4F0B02F6"/>
    <w:rsid w:val="4F9F47B0"/>
    <w:rsid w:val="4FA56487"/>
    <w:rsid w:val="4FAC6D28"/>
    <w:rsid w:val="4FC44EDC"/>
    <w:rsid w:val="4FD76C87"/>
    <w:rsid w:val="50997532"/>
    <w:rsid w:val="51296E07"/>
    <w:rsid w:val="515950BF"/>
    <w:rsid w:val="51B622D7"/>
    <w:rsid w:val="51E75B05"/>
    <w:rsid w:val="5278327E"/>
    <w:rsid w:val="52C12FB4"/>
    <w:rsid w:val="53097B05"/>
    <w:rsid w:val="535B5D4C"/>
    <w:rsid w:val="53866EE0"/>
    <w:rsid w:val="538F587F"/>
    <w:rsid w:val="5398213C"/>
    <w:rsid w:val="54224BB6"/>
    <w:rsid w:val="544860E1"/>
    <w:rsid w:val="544E2FF3"/>
    <w:rsid w:val="54B91937"/>
    <w:rsid w:val="551E7F0E"/>
    <w:rsid w:val="55284F60"/>
    <w:rsid w:val="552C331B"/>
    <w:rsid w:val="552F6145"/>
    <w:rsid w:val="55361C25"/>
    <w:rsid w:val="554C7EC6"/>
    <w:rsid w:val="55570AE2"/>
    <w:rsid w:val="55B95F2B"/>
    <w:rsid w:val="55C8090A"/>
    <w:rsid w:val="55D63612"/>
    <w:rsid w:val="55D9538F"/>
    <w:rsid w:val="56984C9D"/>
    <w:rsid w:val="56B02192"/>
    <w:rsid w:val="56B137E7"/>
    <w:rsid w:val="56D5118B"/>
    <w:rsid w:val="57255B07"/>
    <w:rsid w:val="577E4917"/>
    <w:rsid w:val="57CA68AA"/>
    <w:rsid w:val="59465A10"/>
    <w:rsid w:val="59654F1B"/>
    <w:rsid w:val="5A650D5A"/>
    <w:rsid w:val="5A8E6B50"/>
    <w:rsid w:val="5A945BE3"/>
    <w:rsid w:val="5AD65AB5"/>
    <w:rsid w:val="5AE85750"/>
    <w:rsid w:val="5AF638F6"/>
    <w:rsid w:val="5B455232"/>
    <w:rsid w:val="5B526E3B"/>
    <w:rsid w:val="5C122937"/>
    <w:rsid w:val="5C9A37C5"/>
    <w:rsid w:val="5D176670"/>
    <w:rsid w:val="5E2614D6"/>
    <w:rsid w:val="5E77000C"/>
    <w:rsid w:val="5EFB5FCF"/>
    <w:rsid w:val="603457C5"/>
    <w:rsid w:val="603D0897"/>
    <w:rsid w:val="608F2A64"/>
    <w:rsid w:val="60941C1E"/>
    <w:rsid w:val="60976762"/>
    <w:rsid w:val="609B0EA9"/>
    <w:rsid w:val="60B26162"/>
    <w:rsid w:val="61277A5F"/>
    <w:rsid w:val="615674ED"/>
    <w:rsid w:val="616662E4"/>
    <w:rsid w:val="61744EA1"/>
    <w:rsid w:val="61C904AE"/>
    <w:rsid w:val="62184589"/>
    <w:rsid w:val="622D01E5"/>
    <w:rsid w:val="62444501"/>
    <w:rsid w:val="62D609E6"/>
    <w:rsid w:val="62D87E44"/>
    <w:rsid w:val="62E41CBE"/>
    <w:rsid w:val="631A062C"/>
    <w:rsid w:val="637048DB"/>
    <w:rsid w:val="64AA146F"/>
    <w:rsid w:val="64C73722"/>
    <w:rsid w:val="651744EA"/>
    <w:rsid w:val="65335497"/>
    <w:rsid w:val="65D76172"/>
    <w:rsid w:val="66A75985"/>
    <w:rsid w:val="66C77325"/>
    <w:rsid w:val="674B1B4E"/>
    <w:rsid w:val="674F72AE"/>
    <w:rsid w:val="683E4C4B"/>
    <w:rsid w:val="6869202F"/>
    <w:rsid w:val="68931D4F"/>
    <w:rsid w:val="68C6406F"/>
    <w:rsid w:val="68D05928"/>
    <w:rsid w:val="68EC7D44"/>
    <w:rsid w:val="69120A38"/>
    <w:rsid w:val="692466A1"/>
    <w:rsid w:val="6A1638AD"/>
    <w:rsid w:val="6A536005"/>
    <w:rsid w:val="6B4551DF"/>
    <w:rsid w:val="6B9E2823"/>
    <w:rsid w:val="6C7B77BD"/>
    <w:rsid w:val="6C992C34"/>
    <w:rsid w:val="6CA95923"/>
    <w:rsid w:val="6CF76CC5"/>
    <w:rsid w:val="6D756958"/>
    <w:rsid w:val="6DE01C12"/>
    <w:rsid w:val="6E1A28C8"/>
    <w:rsid w:val="6E3817C5"/>
    <w:rsid w:val="6FBC2EF5"/>
    <w:rsid w:val="70932AD7"/>
    <w:rsid w:val="718B3849"/>
    <w:rsid w:val="73072328"/>
    <w:rsid w:val="73656E86"/>
    <w:rsid w:val="7377015A"/>
    <w:rsid w:val="739D2BFF"/>
    <w:rsid w:val="743541F9"/>
    <w:rsid w:val="747B6CBC"/>
    <w:rsid w:val="748C4B2F"/>
    <w:rsid w:val="75A01A91"/>
    <w:rsid w:val="75A62E64"/>
    <w:rsid w:val="75BB53FD"/>
    <w:rsid w:val="75E96582"/>
    <w:rsid w:val="75ED24D9"/>
    <w:rsid w:val="761146D7"/>
    <w:rsid w:val="76470CAA"/>
    <w:rsid w:val="764D1082"/>
    <w:rsid w:val="7651072B"/>
    <w:rsid w:val="766F2799"/>
    <w:rsid w:val="76855585"/>
    <w:rsid w:val="76BE6D58"/>
    <w:rsid w:val="7711231B"/>
    <w:rsid w:val="773B6256"/>
    <w:rsid w:val="774E30AC"/>
    <w:rsid w:val="77B75BA7"/>
    <w:rsid w:val="77CF1A71"/>
    <w:rsid w:val="7AFB67D9"/>
    <w:rsid w:val="7BF3685D"/>
    <w:rsid w:val="7CA40F1A"/>
    <w:rsid w:val="7CA97838"/>
    <w:rsid w:val="7CB5619D"/>
    <w:rsid w:val="7D07233B"/>
    <w:rsid w:val="7D40391F"/>
    <w:rsid w:val="7D4B2B17"/>
    <w:rsid w:val="7DF96BCA"/>
    <w:rsid w:val="7E1251F4"/>
    <w:rsid w:val="7E6416AA"/>
    <w:rsid w:val="7EE66F59"/>
    <w:rsid w:val="7F1A6E76"/>
    <w:rsid w:val="7F1F783D"/>
    <w:rsid w:val="7F78788A"/>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autoRedefine/>
    <w:qFormat/>
    <w:uiPriority w:val="1"/>
    <w:pPr>
      <w:keepNext/>
      <w:keepLines/>
      <w:spacing w:before="340" w:after="330" w:line="576" w:lineRule="auto"/>
      <w:outlineLvl w:val="0"/>
    </w:pPr>
    <w:rPr>
      <w:b/>
      <w:kern w:val="44"/>
      <w:sz w:val="44"/>
    </w:rPr>
  </w:style>
  <w:style w:type="paragraph" w:styleId="5">
    <w:name w:val="heading 2"/>
    <w:basedOn w:val="1"/>
    <w:next w:val="1"/>
    <w:link w:val="30"/>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autoRedefine/>
    <w:unhideWhenUsed/>
    <w:qFormat/>
    <w:uiPriority w:val="1"/>
    <w:pPr>
      <w:keepNext/>
      <w:keepLines/>
      <w:spacing w:before="260" w:after="260" w:line="413" w:lineRule="auto"/>
      <w:outlineLvl w:val="2"/>
    </w:pPr>
    <w:rPr>
      <w:b/>
      <w:sz w:val="32"/>
    </w:rPr>
  </w:style>
  <w:style w:type="paragraph" w:styleId="7">
    <w:name w:val="heading 4"/>
    <w:basedOn w:val="1"/>
    <w:next w:val="1"/>
    <w:link w:val="35"/>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autoRedefine/>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autoRedefine/>
    <w:unhideWhenUsed/>
    <w:qFormat/>
    <w:uiPriority w:val="1"/>
    <w:pPr>
      <w:spacing w:after="120"/>
    </w:pPr>
  </w:style>
  <w:style w:type="paragraph" w:styleId="11">
    <w:name w:val="annotation text"/>
    <w:basedOn w:val="1"/>
    <w:link w:val="26"/>
    <w:autoRedefine/>
    <w:unhideWhenUsed/>
    <w:qFormat/>
    <w:uiPriority w:val="99"/>
    <w:pPr>
      <w:jc w:val="left"/>
    </w:pPr>
  </w:style>
  <w:style w:type="paragraph" w:styleId="12">
    <w:name w:val="Balloon Text"/>
    <w:basedOn w:val="1"/>
    <w:link w:val="36"/>
    <w:autoRedefine/>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autoRedefine/>
    <w:unhideWhenUsed/>
    <w:qFormat/>
    <w:uiPriority w:val="99"/>
    <w:rPr>
      <w:b/>
      <w:bCs/>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unhideWhenUsed/>
    <w:qFormat/>
    <w:uiPriority w:val="99"/>
    <w:rPr>
      <w:sz w:val="21"/>
      <w:szCs w:val="21"/>
    </w:rPr>
  </w:style>
  <w:style w:type="character" w:customStyle="1" w:styleId="24">
    <w:name w:val="页眉 Char"/>
    <w:basedOn w:val="21"/>
    <w:link w:val="14"/>
    <w:autoRedefine/>
    <w:qFormat/>
    <w:uiPriority w:val="99"/>
    <w:rPr>
      <w:sz w:val="18"/>
      <w:szCs w:val="18"/>
    </w:rPr>
  </w:style>
  <w:style w:type="character" w:customStyle="1" w:styleId="25">
    <w:name w:val="页脚 Char"/>
    <w:basedOn w:val="21"/>
    <w:link w:val="13"/>
    <w:autoRedefine/>
    <w:qFormat/>
    <w:uiPriority w:val="99"/>
    <w:rPr>
      <w:sz w:val="18"/>
      <w:szCs w:val="18"/>
    </w:rPr>
  </w:style>
  <w:style w:type="character" w:customStyle="1" w:styleId="26">
    <w:name w:val="批注文字 Char"/>
    <w:basedOn w:val="21"/>
    <w:link w:val="11"/>
    <w:autoRedefine/>
    <w:qFormat/>
    <w:uiPriority w:val="99"/>
    <w:rPr>
      <w:rFonts w:ascii="Times New Roman" w:hAnsi="Times New Roman" w:eastAsia="Courier New" w:cs="Times New Roman"/>
      <w:szCs w:val="21"/>
    </w:rPr>
  </w:style>
  <w:style w:type="character" w:customStyle="1" w:styleId="27">
    <w:name w:val="批注主题 Char"/>
    <w:basedOn w:val="26"/>
    <w:link w:val="18"/>
    <w:autoRedefine/>
    <w:semiHidden/>
    <w:qFormat/>
    <w:uiPriority w:val="99"/>
    <w:rPr>
      <w:rFonts w:ascii="Times New Roman" w:hAnsi="Times New Roman" w:eastAsia="Courier New" w:cs="Times New Roman"/>
      <w:b/>
      <w:bCs/>
      <w:szCs w:val="21"/>
    </w:rPr>
  </w:style>
  <w:style w:type="paragraph" w:customStyle="1" w:styleId="28">
    <w:name w:val="独立格式"/>
    <w:basedOn w:val="16"/>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autoRedefine/>
    <w:qFormat/>
    <w:uiPriority w:val="11"/>
    <w:rPr>
      <w:b/>
      <w:bCs/>
      <w:kern w:val="28"/>
      <w:sz w:val="32"/>
      <w:szCs w:val="32"/>
    </w:rPr>
  </w:style>
  <w:style w:type="character" w:customStyle="1" w:styleId="30">
    <w:name w:val="标题 2 Char"/>
    <w:basedOn w:val="21"/>
    <w:link w:val="5"/>
    <w:autoRedefine/>
    <w:qFormat/>
    <w:uiPriority w:val="9"/>
    <w:rPr>
      <w:rFonts w:ascii="Arial" w:hAnsi="Arial" w:eastAsia="Symbol" w:cs="Times New Roman"/>
      <w:b/>
      <w:bCs/>
      <w:sz w:val="32"/>
      <w:szCs w:val="32"/>
    </w:rPr>
  </w:style>
  <w:style w:type="paragraph" w:customStyle="1" w:styleId="31">
    <w:name w:val="表格名称"/>
    <w:basedOn w:val="1"/>
    <w:autoRedefine/>
    <w:qFormat/>
    <w:uiPriority w:val="0"/>
    <w:pPr>
      <w:spacing w:line="360" w:lineRule="auto"/>
      <w:jc w:val="center"/>
    </w:pPr>
    <w:rPr>
      <w:rFonts w:eastAsia="Helv" w:cs="New York"/>
      <w:b/>
      <w:sz w:val="24"/>
      <w:szCs w:val="24"/>
    </w:rPr>
  </w:style>
  <w:style w:type="paragraph" w:customStyle="1" w:styleId="32">
    <w:name w:val="表格文字"/>
    <w:basedOn w:val="28"/>
    <w:next w:val="1"/>
    <w:autoRedefine/>
    <w:qFormat/>
    <w:uiPriority w:val="0"/>
    <w:pPr>
      <w:spacing w:line="360" w:lineRule="exact"/>
    </w:pPr>
    <w:rPr>
      <w:rFonts w:eastAsia="Helv" w:cs="New York"/>
      <w:sz w:val="24"/>
    </w:rPr>
  </w:style>
  <w:style w:type="character" w:customStyle="1" w:styleId="33">
    <w:name w:val="标题 5 Char"/>
    <w:basedOn w:val="21"/>
    <w:link w:val="8"/>
    <w:autoRedefine/>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autoRedefine/>
    <w:semiHidden/>
    <w:qFormat/>
    <w:uiPriority w:val="99"/>
    <w:rPr>
      <w:rFonts w:ascii="Times New Roman" w:hAnsi="Times New Roman" w:eastAsia="Courier New" w:cs="Times New Roman"/>
      <w:szCs w:val="21"/>
    </w:rPr>
  </w:style>
  <w:style w:type="character" w:customStyle="1" w:styleId="35">
    <w:name w:val="标题 4 Char"/>
    <w:basedOn w:val="21"/>
    <w:link w:val="7"/>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autoRedefine/>
    <w:semiHidden/>
    <w:qFormat/>
    <w:uiPriority w:val="99"/>
    <w:rPr>
      <w:rFonts w:ascii="Times New Roman" w:hAnsi="Times New Roman" w:eastAsia="Courier New" w:cs="Times New Roman"/>
      <w:kern w:val="2"/>
      <w:sz w:val="18"/>
      <w:szCs w:val="18"/>
    </w:rPr>
  </w:style>
  <w:style w:type="table" w:customStyle="1" w:styleId="37">
    <w:name w:val="Table Normal"/>
    <w:autoRedefine/>
    <w:unhideWhenUsed/>
    <w:qFormat/>
    <w:uiPriority w:val="2"/>
    <w:tblPr>
      <w:tblCellMar>
        <w:top w:w="0" w:type="dxa"/>
        <w:left w:w="0" w:type="dxa"/>
        <w:bottom w:w="0" w:type="dxa"/>
        <w:right w:w="0" w:type="dxa"/>
      </w:tblCellMar>
    </w:tblPr>
  </w:style>
  <w:style w:type="paragraph" w:customStyle="1" w:styleId="38">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12111</Words>
  <Characters>15606</Characters>
  <Lines>80</Lines>
  <Paragraphs>22</Paragraphs>
  <TotalTime>335</TotalTime>
  <ScaleCrop>false</ScaleCrop>
  <LinksUpToDate>false</LinksUpToDate>
  <CharactersWithSpaces>16567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演示人</cp:lastModifiedBy>
  <cp:lastPrinted>2024-03-13T07:28:00Z</cp:lastPrinted>
  <dcterms:modified xsi:type="dcterms:W3CDTF">2024-03-21T02:07:24Z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